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968"/>
        <w:gridCol w:w="3188"/>
        <w:gridCol w:w="3049"/>
      </w:tblGrid>
      <w:tr>
        <w:trPr/>
        <w:tc>
          <w:tcPr>
            <w:tcW w:w="39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pPr>
                  <w:hyperlink r:id="rId4">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1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br/>
            </w:r>
            <w:r>
              <w:rPr>
                <w:rFonts w:ascii="arial;helvetica;sans-serif" w:hAnsi="arial;helvetica;sans-serif"/>
                <w:sz w:val="20"/>
              </w:rPr>
              <w:t>Foreign Trading Symbol</w:t>
            </w:r>
          </w:p>
        </w:tc>
        <w:tc>
          <w:tcPr>
            <w:tcW w:w="304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9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1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9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1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4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8"/>
              <w:gridCol w:w="2491"/>
            </w:tblGrid>
            <w:tr>
              <w:trPr/>
              <w:tc>
                <w:tcPr>
                  <w:tcW w:w="43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2"/>
        <w:gridCol w:w="912"/>
        <w:gridCol w:w="784"/>
        <w:gridCol w:w="605"/>
        <w:gridCol w:w="331"/>
        <w:gridCol w:w="1142"/>
        <w:gridCol w:w="400"/>
        <w:gridCol w:w="784"/>
        <w:gridCol w:w="1320"/>
        <w:gridCol w:w="935"/>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1,710,907</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35.46</w:t>
            </w:r>
            <w:r>
              <w:rPr>
                <w:rFonts w:ascii="Times;serif" w:hAnsi="Times;serif"/>
                <w:color w:val="008000"/>
                <w:position w:val="7"/>
                <w:sz w:val="16"/>
                <w:sz w:val="20"/>
                <w:shd w:fill="FFFFFF" w:val="clear"/>
              </w:rPr>
              <w:t>(1)</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25,530,471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265,711</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36.48</w:t>
            </w:r>
            <w:r>
              <w:rPr>
                <w:rFonts w:ascii="Times;serif" w:hAnsi="Times;serif"/>
                <w:color w:val="008000"/>
                <w:position w:val="7"/>
                <w:sz w:val="16"/>
                <w:sz w:val="20"/>
                <w:shd w:fill="FFFFFF" w:val="clear"/>
              </w:rPr>
              <w:t>(3)</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25,264,760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271,994</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35.33</w:t>
            </w:r>
            <w:r>
              <w:rPr>
                <w:rFonts w:ascii="Times;serif" w:hAnsi="Times;serif"/>
                <w:color w:val="008000"/>
                <w:position w:val="7"/>
                <w:sz w:val="16"/>
                <w:sz w:val="20"/>
                <w:shd w:fill="FFFFFF" w:val="clear"/>
              </w:rPr>
              <w:t>(4)</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24,992,766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91,555,447</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GIC Special Investments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Hux Investment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$35.08 to $35.99, inclusive. The reporting person undertakes to provide to Medline Inc., any security holder of Medline Inc., or the staff of the Securities and Exchange Commission, upon request, full information regarding the number of shares purchased at each separate price within the ranges set forth in footnotes (1),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$36.00 to $36.72,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$35.00 to $35.90,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owned directly by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Private Ltd, By: /s/ Wong Hui Ping, Name: Wong Hui Ping, Title: Senior Vice President; By: /s/ Wee Linrong, Name: Wee Linrong, Title: Senior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Special Investments Pte Ltd, By: /s/ Sensen Lin, Name: Sensen Lin, Title: Authorized Signatory for GIC 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Hux Investment Pte. Ltd., By: /s/ Suresh Bala, Name: Suresh Bala,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8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936828" TargetMode="External"/><Relationship Id="rId9" Type="http://schemas.openxmlformats.org/officeDocument/2006/relationships/hyperlink" Target="http://www.sec.gov/cgi-bin/browse-edgar?action=getcompany&amp;CIK=0001296212" TargetMode="External"/><Relationship Id="rId10" Type="http://schemas.openxmlformats.org/officeDocument/2006/relationships/hyperlink" Target="http://www.sec.gov/cgi-bin/browse-edgar?action=getcompany&amp;CIK=00020384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1031</Words>
  <Characters>5549</Characters>
  <CharactersWithSpaces>6439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