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33"/>
        <w:ind w:left="0" w:right="0" w:hanging="1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center"/>
        <w:rPr>
          <w:rFonts w:ascii="Times New Roman;serif" w:hAnsi="Times New Roman;serif"/>
          <w:b/>
          <w:color w:val="181717"/>
          <w:sz w:val="36"/>
        </w:rPr>
      </w:pPr>
      <w:r>
        <w:rPr>
          <w:rFonts w:ascii="Times New Roman;serif" w:hAnsi="Times New Roman;serif"/>
          <w:b/>
          <w:color w:val="181717"/>
          <w:sz w:val="36"/>
        </w:rPr>
        <w:t>UNITED STATES</w:t>
      </w:r>
    </w:p>
    <w:p>
      <w:pPr>
        <w:pStyle w:val="TextBody"/>
        <w:bidi w:val="0"/>
        <w:spacing w:lineRule="auto" w:line="333" w:before="0" w:after="0"/>
        <w:jc w:val="center"/>
        <w:rPr>
          <w:rFonts w:ascii="Times New Roman;serif" w:hAnsi="Times New Roman;serif"/>
          <w:b/>
          <w:color w:val="181717"/>
          <w:sz w:val="36"/>
        </w:rPr>
      </w:pPr>
      <w:r>
        <w:rPr>
          <w:rFonts w:ascii="Times New Roman;serif" w:hAnsi="Times New Roman;serif"/>
          <w:b/>
          <w:color w:val="181717"/>
          <w:sz w:val="36"/>
        </w:rPr>
        <w:t>SECURITIES AND EXCHANGE COMMISSION</w:t>
      </w:r>
    </w:p>
    <w:p>
      <w:pPr>
        <w:pStyle w:val="TextBody"/>
        <w:bidi w:val="0"/>
        <w:spacing w:lineRule="auto" w:line="333" w:before="0" w:after="0"/>
        <w:jc w:val="center"/>
        <w:rPr>
          <w:rFonts w:ascii="Times New Roman;serif" w:hAnsi="Times New Roman;serif"/>
          <w:b/>
          <w:color w:val="181717"/>
          <w:sz w:val="28"/>
        </w:rPr>
      </w:pPr>
      <w:r>
        <w:rPr>
          <w:rFonts w:ascii="Times New Roman;serif" w:hAnsi="Times New Roman;serif"/>
          <w:b/>
          <w:color w:val="181717"/>
          <w:sz w:val="28"/>
        </w:rPr>
        <w:t>Washington, D.C. 20549</w:t>
      </w:r>
    </w:p>
    <w:p>
      <w:pPr>
        <w:pStyle w:val="TextBody"/>
        <w:bidi w:val="0"/>
        <w:spacing w:lineRule="auto" w:line="333" w:before="0" w:after="0"/>
        <w:jc w:val="center"/>
        <w:rPr>
          <w:rFonts w:ascii="Times New Roman;serif" w:hAnsi="Times New Roman;serif"/>
          <w:b/>
          <w:color w:val="181717"/>
          <w:sz w:val="28"/>
        </w:rPr>
      </w:pPr>
      <w:r>
        <w:rPr>
          <w:rFonts w:ascii="Times New Roman;serif" w:hAnsi="Times New Roman;serif"/>
          <w:b/>
          <w:color w:val="181717"/>
          <w:sz w:val="28"/>
        </w:rPr>
        <w:t>___________________________</w:t>
      </w:r>
    </w:p>
    <w:p>
      <w:pPr>
        <w:pStyle w:val="TextBody"/>
        <w:bidi w:val="0"/>
        <w:spacing w:lineRule="auto" w:line="333" w:before="120" w:after="283"/>
        <w:jc w:val="center"/>
        <w:rPr>
          <w:rFonts w:ascii="Times New Roman;serif" w:hAnsi="Times New Roman;serif"/>
          <w:b/>
          <w:color w:val="181717"/>
          <w:sz w:val="36"/>
        </w:rPr>
      </w:pPr>
      <w:r>
        <w:rPr>
          <w:rFonts w:ascii="Times New Roman;serif" w:hAnsi="Times New Roman;serif"/>
          <w:b/>
          <w:color w:val="181717"/>
          <w:sz w:val="36"/>
        </w:rPr>
        <w:t>FORM 10-Q</w:t>
      </w:r>
    </w:p>
    <w:p>
      <w:pPr>
        <w:pStyle w:val="TextBody"/>
        <w:bidi w:val="0"/>
        <w:spacing w:lineRule="auto" w:line="333" w:before="0" w:after="0"/>
        <w:jc w:val="center"/>
        <w:rPr>
          <w:rFonts w:ascii="Times New Roman;serif" w:hAnsi="Times New Roman;serif"/>
          <w:b/>
          <w:color w:val="181717"/>
          <w:sz w:val="28"/>
        </w:rPr>
      </w:pPr>
      <w:r>
        <w:rPr>
          <w:rFonts w:ascii="Times New Roman;serif" w:hAnsi="Times New Roman;serif"/>
          <w:b/>
          <w:color w:val="181717"/>
          <w:sz w:val="28"/>
        </w:rPr>
        <w:t>___________________________</w:t>
      </w:r>
    </w:p>
    <w:p>
      <w:pPr>
        <w:pStyle w:val="TextBody"/>
        <w:bidi w:val="0"/>
        <w:spacing w:lineRule="auto" w:line="333" w:before="240" w:after="283"/>
        <w:jc w:val="left"/>
        <w:rPr>
          <w:rFonts w:ascii="Times New Roman;serif" w:hAnsi="Times New Roman;serif"/>
          <w:b/>
          <w:color w:val="181717"/>
          <w:sz w:val="20"/>
        </w:rPr>
      </w:pPr>
      <w:r>
        <w:rPr>
          <w:rFonts w:ascii="Times New Roman;serif" w:hAnsi="Times New Roman;serif"/>
          <w:b/>
          <w:color w:val="181717"/>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333" w:before="240" w:after="283"/>
        <w:jc w:val="center"/>
        <w:rPr>
          <w:rFonts w:ascii="Times New Roman;serif" w:hAnsi="Times New Roman;serif"/>
          <w:b/>
          <w:color w:val="181717"/>
          <w:sz w:val="20"/>
        </w:rPr>
      </w:pPr>
      <w:r>
        <w:rPr>
          <w:rFonts w:ascii="Times New Roman;serif" w:hAnsi="Times New Roman;serif"/>
          <w:b/>
          <w:color w:val="181717"/>
          <w:sz w:val="20"/>
        </w:rPr>
        <w:t>For the quarterly period ended March 28, 2026</w:t>
      </w:r>
    </w:p>
    <w:p>
      <w:pPr>
        <w:pStyle w:val="TextBody"/>
        <w:bidi w:val="0"/>
        <w:spacing w:lineRule="auto" w:line="333" w:before="240" w:after="240"/>
        <w:jc w:val="center"/>
        <w:rPr>
          <w:rFonts w:ascii="Times New Roman;serif" w:hAnsi="Times New Roman;serif"/>
          <w:b/>
          <w:color w:val="181717"/>
          <w:sz w:val="16"/>
        </w:rPr>
      </w:pPr>
      <w:r>
        <w:rPr>
          <w:rFonts w:ascii="Times New Roman;serif" w:hAnsi="Times New Roman;serif"/>
          <w:b/>
          <w:color w:val="181717"/>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333" w:before="240" w:after="283"/>
        <w:jc w:val="center"/>
        <w:rPr>
          <w:rFonts w:ascii="Times New Roman;serif" w:hAnsi="Times New Roman;serif"/>
          <w:b/>
          <w:color w:val="181717"/>
          <w:sz w:val="20"/>
        </w:rPr>
      </w:pPr>
      <w:r>
        <w:rPr>
          <w:rFonts w:ascii="Times New Roman;serif" w:hAnsi="Times New Roman;serif"/>
          <w:b/>
          <w:color w:val="181717"/>
          <w:sz w:val="20"/>
        </w:rPr>
        <w:t>For the transition period from ___________ to ___________</w:t>
      </w:r>
    </w:p>
    <w:p>
      <w:pPr>
        <w:pStyle w:val="TextBody"/>
        <w:bidi w:val="0"/>
        <w:spacing w:lineRule="auto" w:line="333" w:before="240" w:after="283"/>
        <w:jc w:val="center"/>
        <w:rPr>
          <w:rFonts w:ascii="Times New Roman;serif" w:hAnsi="Times New Roman;serif"/>
          <w:b/>
          <w:color w:val="181717"/>
          <w:sz w:val="20"/>
        </w:rPr>
      </w:pPr>
      <w:r>
        <w:rPr>
          <w:rFonts w:ascii="Times New Roman;serif" w:hAnsi="Times New Roman;serif"/>
          <w:b/>
          <w:color w:val="181717"/>
          <w:sz w:val="20"/>
        </w:rPr>
        <w:t>Commission file number 001-43022</w:t>
      </w:r>
    </w:p>
    <w:p>
      <w:pPr>
        <w:pStyle w:val="TextBody"/>
        <w:bidi w:val="0"/>
        <w:spacing w:lineRule="auto" w:line="333" w:before="0" w:after="0"/>
        <w:jc w:val="center"/>
        <w:rPr>
          <w:rFonts w:ascii="Times New Roman;serif" w:hAnsi="Times New Roman;serif"/>
          <w:b/>
          <w:color w:val="181717"/>
          <w:sz w:val="28"/>
        </w:rPr>
      </w:pPr>
      <w:r>
        <w:rPr>
          <w:rFonts w:ascii="Times New Roman;serif" w:hAnsi="Times New Roman;serif"/>
          <w:b/>
          <w:color w:val="181717"/>
          <w:sz w:val="28"/>
        </w:rPr>
        <w:t>_________________________</w:t>
      </w:r>
    </w:p>
    <w:p>
      <w:pPr>
        <w:pStyle w:val="TextBody"/>
        <w:bidi w:val="0"/>
        <w:spacing w:lineRule="auto" w:line="333" w:before="120" w:after="283"/>
        <w:jc w:val="center"/>
        <w:rPr>
          <w:rFonts w:ascii="Times New Roman;serif" w:hAnsi="Times New Roman;serif"/>
          <w:b/>
          <w:color w:val="181717"/>
          <w:sz w:val="36"/>
        </w:rPr>
      </w:pPr>
      <w:r>
        <w:rPr>
          <w:rFonts w:ascii="Times New Roman;serif" w:hAnsi="Times New Roman;serif"/>
          <w:b/>
          <w:color w:val="181717"/>
          <w:sz w:val="36"/>
        </w:rPr>
        <w:t>Medline Inc.</w:t>
      </w:r>
    </w:p>
    <w:p>
      <w:pPr>
        <w:pStyle w:val="TextBody"/>
        <w:bidi w:val="0"/>
        <w:spacing w:lineRule="auto" w:line="333" w:before="0" w:after="0"/>
        <w:jc w:val="center"/>
        <w:rPr>
          <w:rFonts w:ascii="Times New Roman;serif" w:hAnsi="Times New Roman;serif"/>
          <w:b/>
          <w:color w:val="181717"/>
          <w:sz w:val="20"/>
        </w:rPr>
      </w:pPr>
      <w:r>
        <w:rPr>
          <w:rFonts w:ascii="Times New Roman;serif" w:hAnsi="Times New Roman;serif"/>
          <w:b/>
          <w:color w:val="181717"/>
          <w:sz w:val="20"/>
        </w:rPr>
        <w:t>(Exact name of registrant as specified in its charter)</w:t>
      </w:r>
    </w:p>
    <w:p>
      <w:pPr>
        <w:pStyle w:val="TextBody"/>
        <w:bidi w:val="0"/>
        <w:spacing w:lineRule="auto" w:line="333" w:before="0" w:after="240"/>
        <w:jc w:val="center"/>
        <w:rPr>
          <w:rFonts w:ascii="Times New Roman;serif" w:hAnsi="Times New Roman;serif"/>
          <w:b/>
          <w:color w:val="181717"/>
          <w:sz w:val="28"/>
        </w:rPr>
      </w:pPr>
      <w:r>
        <w:rPr>
          <w:rFonts w:ascii="Times New Roman;serif" w:hAnsi="Times New Roman;serif"/>
          <w:b/>
          <w:color w:val="181717"/>
          <w:sz w:val="28"/>
        </w:rPr>
        <w:t>_________________________</w:t>
      </w:r>
    </w:p>
    <w:tbl>
      <w:tblPr>
        <w:tblW w:w="5275" w:type="dxa"/>
        <w:jc w:val="left"/>
        <w:tblInd w:w="0" w:type="dxa"/>
        <w:tblLayout w:type="fixed"/>
        <w:tblCellMar>
          <w:top w:w="28" w:type="dxa"/>
          <w:left w:w="28" w:type="dxa"/>
          <w:bottom w:w="28" w:type="dxa"/>
          <w:right w:w="28" w:type="dxa"/>
        </w:tblCellMar>
      </w:tblPr>
      <w:tblGrid>
        <w:gridCol w:w="1193"/>
        <w:gridCol w:w="1047"/>
        <w:gridCol w:w="1059"/>
        <w:gridCol w:w="109"/>
        <w:gridCol w:w="109"/>
        <w:gridCol w:w="109"/>
        <w:gridCol w:w="481"/>
        <w:gridCol w:w="481"/>
        <w:gridCol w:w="687"/>
      </w:tblGrid>
      <w:tr>
        <w:trPr/>
        <w:tc>
          <w:tcPr>
            <w:tcW w:w="119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33-1845288</w:t>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p>
            <w:pPr>
              <w:pStyle w:val="TableContents"/>
              <w:bidi w:val="0"/>
              <w:spacing w:lineRule="auto" w:line="288" w:before="0" w:after="30"/>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88" w:before="0" w:after="3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Times New Roman;serif" w:hAnsi="Times New Roman;serif"/>
                <w:b/>
                <w:color w:val="000000"/>
                <w:sz w:val="20"/>
              </w:rPr>
            </w:pPr>
            <w:r>
              <w:rPr>
                <w:rFonts w:ascii="Times New Roman;serif" w:hAnsi="Times New Roman;serif"/>
                <w:b/>
                <w:color w:val="000000"/>
                <w:sz w:val="20"/>
              </w:rPr>
              <w:t>3 Lakes Drive</w:t>
            </w:r>
          </w:p>
          <w:p>
            <w:pPr>
              <w:pStyle w:val="TableContents"/>
              <w:bidi w:val="0"/>
              <w:spacing w:lineRule="auto" w:line="288" w:before="0" w:after="30"/>
              <w:jc w:val="center"/>
              <w:rPr>
                <w:rFonts w:ascii="Times New Roman;serif" w:hAnsi="Times New Roman;serif"/>
                <w:b/>
                <w:color w:val="000000"/>
                <w:sz w:val="20"/>
              </w:rPr>
            </w:pPr>
            <w:r>
              <w:rPr>
                <w:rFonts w:ascii="Times New Roman;serif" w:hAnsi="Times New Roman;serif"/>
                <w:b/>
                <w:color w:val="000000"/>
                <w:sz w:val="20"/>
              </w:rPr>
              <w:t>Northfield, Illinois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60093</w:t>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ind w:left="0" w:right="0" w:hanging="10"/>
        <w:jc w:val="center"/>
        <w:rPr/>
      </w:pPr>
      <w:r>
        <w:rPr/>
      </w:r>
    </w:p>
    <w:p>
      <w:pPr>
        <w:pStyle w:val="TextBody"/>
        <w:bidi w:val="0"/>
        <w:spacing w:lineRule="auto" w:line="333" w:before="240" w:after="283"/>
        <w:jc w:val="center"/>
        <w:rPr>
          <w:rFonts w:ascii="Times New Roman;serif" w:hAnsi="Times New Roman;serif"/>
          <w:b/>
          <w:color w:val="181717"/>
          <w:sz w:val="20"/>
        </w:rPr>
      </w:pPr>
      <w:r>
        <w:rPr>
          <w:rFonts w:ascii="Times New Roman;serif" w:hAnsi="Times New Roman;serif"/>
          <w:b/>
          <w:color w:val="181717"/>
          <w:sz w:val="20"/>
        </w:rPr>
        <w:t>(847) 949 5500</w:t>
      </w:r>
    </w:p>
    <w:p>
      <w:pPr>
        <w:pStyle w:val="TextBody"/>
        <w:bidi w:val="0"/>
        <w:spacing w:lineRule="auto" w:line="333" w:before="0" w:after="0"/>
        <w:jc w:val="center"/>
        <w:rPr>
          <w:rFonts w:ascii="Times New Roman;serif" w:hAnsi="Times New Roman;serif"/>
          <w:b w:val="false"/>
          <w:color w:val="181717"/>
          <w:sz w:val="20"/>
        </w:rPr>
      </w:pPr>
      <w:r>
        <w:rPr>
          <w:rFonts w:ascii="Times New Roman;serif" w:hAnsi="Times New Roman;serif"/>
          <w:b w:val="false"/>
          <w:color w:val="181717"/>
          <w:sz w:val="20"/>
        </w:rPr>
        <w:t>Registrant’s telephone number, including area code</w: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181717"/>
          <w:sz w:val="20"/>
        </w:rPr>
      </w:pPr>
      <w:r>
        <w:rPr>
          <w:rFonts w:ascii="Times New Roman;serif" w:hAnsi="Times New Roman;serif"/>
          <w:b w:val="false"/>
          <w:color w:val="181717"/>
          <w:sz w:val="20"/>
        </w:rPr>
        <w:t>N/A</w:t>
      </w:r>
    </w:p>
    <w:p>
      <w:pPr>
        <w:pStyle w:val="TextBody"/>
        <w:bidi w:val="0"/>
        <w:spacing w:lineRule="auto" w:line="288" w:before="0" w:after="0"/>
        <w:ind w:left="0" w:right="0" w:firstLine="720"/>
        <w:jc w:val="center"/>
        <w:rPr>
          <w:rFonts w:ascii="Times New Roman;serif" w:hAnsi="Times New Roman;serif"/>
          <w:b w:val="false"/>
          <w:color w:val="181717"/>
          <w:sz w:val="20"/>
        </w:rPr>
      </w:pPr>
      <w:r>
        <w:rPr>
          <w:rFonts w:ascii="Times New Roman;serif" w:hAnsi="Times New Roman;serif"/>
          <w:b w:val="false"/>
          <w:color w:val="181717"/>
          <w:sz w:val="20"/>
        </w:rPr>
        <w:t>Former name, former address and former fiscal year, if changed since last report</w:t>
      </w:r>
    </w:p>
    <w:p>
      <w:pPr>
        <w:pStyle w:val="TextBody"/>
        <w:bidi w:val="0"/>
        <w:spacing w:before="0" w:after="0"/>
        <w:jc w:val="both"/>
        <w:rPr/>
      </w:pPr>
      <w:r>
        <w:rPr/>
      </w:r>
    </w:p>
    <w:p>
      <w:pPr>
        <w:pStyle w:val="TextBody"/>
        <w:bidi w:val="0"/>
        <w:spacing w:lineRule="auto" w:line="333" w:before="240" w:after="283"/>
        <w:jc w:val="center"/>
        <w:rPr>
          <w:rFonts w:ascii="Times New Roman;serif" w:hAnsi="Times New Roman;serif"/>
          <w:b w:val="false"/>
          <w:color w:val="181717"/>
          <w:sz w:val="20"/>
        </w:rPr>
      </w:pPr>
      <w:r>
        <w:rPr>
          <w:rFonts w:ascii="Times New Roman;serif" w:hAnsi="Times New Roman;serif"/>
          <w:b w:val="false"/>
          <w:color w:val="181717"/>
          <w:sz w:val="20"/>
        </w:rPr>
        <w:t>Securities registered pursuant to Section 12(b) of the Act:</w:t>
      </w:r>
    </w:p>
    <w:tbl>
      <w:tblPr>
        <w:tblW w:w="9613" w:type="dxa"/>
        <w:jc w:val="left"/>
        <w:tblInd w:w="0" w:type="dxa"/>
        <w:tblLayout w:type="fixed"/>
        <w:tblCellMar>
          <w:top w:w="28" w:type="dxa"/>
          <w:left w:w="28" w:type="dxa"/>
          <w:bottom w:w="28" w:type="dxa"/>
          <w:right w:w="28" w:type="dxa"/>
        </w:tblCellMar>
      </w:tblPr>
      <w:tblGrid>
        <w:gridCol w:w="1553"/>
        <w:gridCol w:w="1360"/>
        <w:gridCol w:w="1376"/>
        <w:gridCol w:w="539"/>
        <w:gridCol w:w="539"/>
        <w:gridCol w:w="541"/>
        <w:gridCol w:w="1085"/>
        <w:gridCol w:w="1085"/>
        <w:gridCol w:w="1535"/>
      </w:tblGrid>
      <w:tr>
        <w:trPr/>
        <w:tc>
          <w:tcPr>
            <w:tcW w:w="1553"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28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$0.0001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MDLN</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Nasdaq Global Select Market </w:t>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705"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7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jc w:val="left"/>
        <w:rPr>
          <w:rFonts w:ascii="Times New Roman;serif" w:hAnsi="Times New Roman;serif"/>
          <w:b w:val="false"/>
          <w:color w:val="181717"/>
          <w:sz w:val="20"/>
        </w:rPr>
      </w:pPr>
      <w:r>
        <w:rPr>
          <w:rFonts w:ascii="Times New Roman;serif" w:hAnsi="Times New Roman;serif"/>
          <w:b w:val="false"/>
          <w:color w:val="181717"/>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333" w:before="0" w:after="0"/>
        <w:jc w:val="right"/>
        <w:rPr/>
      </w:pPr>
      <w:r>
        <w:rPr>
          <w:rFonts w:ascii="Times New Roman;serif" w:hAnsi="Times New Roman;serif"/>
          <w:b w:val="false"/>
          <w:color w:val="181717"/>
          <w:sz w:val="20"/>
        </w:rPr>
        <w:t xml:space="preserve">Yes </w:t>
      </w:r>
      <w:r>
        <w:rPr>
          <w:color w:val="181717"/>
        </w:rPr>
        <w:t xml:space="preserve">☒ </w:t>
      </w:r>
      <w:r>
        <w:rPr>
          <w:rFonts w:ascii="Times New Roman;serif" w:hAnsi="Times New Roman;serif"/>
          <w:b w:val="false"/>
          <w:color w:val="181717"/>
          <w:sz w:val="20"/>
        </w:rPr>
        <w:t xml:space="preserve">No </w:t>
      </w:r>
      <w:r>
        <w:rPr>
          <w:color w:val="181717"/>
        </w:rPr>
        <w:t>☐</w:t>
      </w:r>
    </w:p>
    <w:p>
      <w:pPr>
        <w:pStyle w:val="TextBody"/>
        <w:bidi w:val="0"/>
        <w:spacing w:lineRule="auto" w:line="333" w:before="240" w:after="283"/>
        <w:jc w:val="left"/>
        <w:rPr>
          <w:rFonts w:ascii="Times New Roman;serif" w:hAnsi="Times New Roman;serif"/>
          <w:b w:val="false"/>
          <w:color w:val="181717"/>
          <w:sz w:val="20"/>
        </w:rPr>
      </w:pPr>
      <w:r>
        <w:rPr>
          <w:rFonts w:ascii="Times New Roman;serif" w:hAnsi="Times New Roman;serif"/>
          <w:b w:val="false"/>
          <w:color w:val="181717"/>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lineRule="auto" w:line="333" w:before="0" w:after="0"/>
        <w:jc w:val="right"/>
        <w:rPr/>
      </w:pPr>
      <w:r>
        <w:rPr>
          <w:rFonts w:ascii="Times New Roman;serif" w:hAnsi="Times New Roman;serif"/>
          <w:b w:val="false"/>
          <w:color w:val="181717"/>
          <w:sz w:val="20"/>
        </w:rPr>
        <w:t xml:space="preserve">Yes </w:t>
      </w:r>
      <w:r>
        <w:rPr>
          <w:color w:val="181717"/>
        </w:rPr>
        <w:t xml:space="preserve">☒ </w:t>
      </w:r>
      <w:r>
        <w:rPr>
          <w:rFonts w:ascii="Times New Roman;serif" w:hAnsi="Times New Roman;serif"/>
          <w:b w:val="false"/>
          <w:color w:val="181717"/>
          <w:sz w:val="20"/>
        </w:rPr>
        <w:t xml:space="preserve">No </w:t>
      </w:r>
      <w:r>
        <w:rPr>
          <w:color w:val="181717"/>
        </w:rPr>
        <w:t xml:space="preserve">☐                </w:t>
      </w:r>
    </w:p>
    <w:p>
      <w:pPr>
        <w:pStyle w:val="TextBody"/>
        <w:bidi w:val="0"/>
        <w:spacing w:lineRule="auto" w:line="333" w:before="240" w:after="240"/>
        <w:jc w:val="left"/>
        <w:rPr>
          <w:rFonts w:ascii="Times New Roman;serif" w:hAnsi="Times New Roman;serif"/>
          <w:b w:val="false"/>
          <w:color w:val="181717"/>
          <w:sz w:val="20"/>
        </w:rPr>
      </w:pPr>
      <w:r>
        <w:rPr>
          <w:rFonts w:ascii="Times New Roman;serif" w:hAnsi="Times New Roman;serif"/>
          <w:b w:val="false"/>
          <w:color w:val="181717"/>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181717"/>
              </w:rPr>
            </w:pPr>
            <w:r>
              <w:rPr>
                <w:color w:val="1817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r>
    </w:tbl>
    <w:p>
      <w:pPr>
        <w:pStyle w:val="TextBody"/>
        <w:bidi w:val="0"/>
        <w:spacing w:lineRule="auto" w:line="333" w:before="240" w:after="283"/>
        <w:jc w:val="left"/>
        <w:rPr>
          <w:rFonts w:ascii="Times New Roman;serif" w:hAnsi="Times New Roman;serif"/>
          <w:b w:val="false"/>
          <w:color w:val="181717"/>
          <w:sz w:val="20"/>
        </w:rPr>
      </w:pPr>
      <w:r>
        <w:rPr>
          <w:rFonts w:ascii="Times New Roman;serif" w:hAnsi="Times New Roman;serif"/>
          <w:b w:val="false"/>
          <w:color w:val="181717"/>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333" w:before="0" w:after="0"/>
        <w:jc w:val="right"/>
        <w:rPr>
          <w:color w:val="181717"/>
        </w:rPr>
      </w:pPr>
      <w:r>
        <w:rPr>
          <w:color w:val="181717"/>
        </w:rPr>
        <w:t>☐</w:t>
      </w:r>
    </w:p>
    <w:p>
      <w:pPr>
        <w:pStyle w:val="TextBody"/>
        <w:bidi w:val="0"/>
        <w:spacing w:lineRule="auto" w:line="333" w:before="240" w:after="283"/>
        <w:jc w:val="left"/>
        <w:rPr>
          <w:rFonts w:ascii="Times New Roman;serif" w:hAnsi="Times New Roman;serif"/>
          <w:b w:val="false"/>
          <w:color w:val="181717"/>
          <w:sz w:val="20"/>
        </w:rPr>
      </w:pPr>
      <w:r>
        <w:rPr>
          <w:rFonts w:ascii="Times New Roman;serif" w:hAnsi="Times New Roman;serif"/>
          <w:b w:val="false"/>
          <w:color w:val="181717"/>
          <w:sz w:val="20"/>
        </w:rPr>
        <w:t>Indicate by check mark whether the registrant is a shell company (as defined in Rule 12b-2 of the Exchange Act).</w:t>
      </w:r>
    </w:p>
    <w:p>
      <w:pPr>
        <w:pStyle w:val="TextBody"/>
        <w:bidi w:val="0"/>
        <w:spacing w:lineRule="auto" w:line="333" w:before="0" w:after="0"/>
        <w:jc w:val="right"/>
        <w:rPr/>
      </w:pPr>
      <w:r>
        <w:rPr>
          <w:rFonts w:ascii="Times New Roman;serif" w:hAnsi="Times New Roman;serif"/>
          <w:b w:val="false"/>
          <w:color w:val="181717"/>
          <w:sz w:val="20"/>
        </w:rPr>
        <w:t xml:space="preserve">Yes </w:t>
      </w:r>
      <w:r>
        <w:rPr>
          <w:color w:val="181717"/>
        </w:rPr>
        <w:t xml:space="preserve">☐ </w:t>
      </w:r>
      <w:r>
        <w:rPr>
          <w:rFonts w:ascii="Times New Roman;serif" w:hAnsi="Times New Roman;serif"/>
          <w:b w:val="false"/>
          <w:color w:val="181717"/>
          <w:sz w:val="20"/>
        </w:rPr>
        <w:t xml:space="preserve">No </w:t>
      </w:r>
      <w:r>
        <w:rPr>
          <w:color w:val="181717"/>
        </w:rPr>
        <w:t>☒</w:t>
      </w:r>
    </w:p>
    <w:p>
      <w:pPr>
        <w:pStyle w:val="TextBody"/>
        <w:bidi w:val="0"/>
        <w:spacing w:lineRule="auto" w:line="333" w:before="240" w:after="283"/>
        <w:jc w:val="left"/>
        <w:rPr/>
      </w:pPr>
      <w:r>
        <w:rPr>
          <w:rFonts w:ascii="Times New Roman;serif" w:hAnsi="Times New Roman;serif"/>
          <w:b w:val="false"/>
          <w:color w:val="181717"/>
          <w:sz w:val="20"/>
        </w:rPr>
        <w:t xml:space="preserve">As of May 4, 2026, there were </w:t>
      </w:r>
      <w:r>
        <w:rPr>
          <w:rFonts w:ascii="Times New Roman;serif" w:hAnsi="Times New Roman;serif"/>
          <w:b w:val="false"/>
          <w:color w:val="000000"/>
          <w:sz w:val="20"/>
        </w:rPr>
        <w:t>845,606,187</w:t>
      </w:r>
      <w:r>
        <w:rPr>
          <w:color w:val="181717"/>
        </w:rPr>
        <w:t xml:space="preserve"> </w:t>
      </w:r>
      <w:r>
        <w:rPr>
          <w:rFonts w:ascii="Times New Roman;serif" w:hAnsi="Times New Roman;serif"/>
          <w:b w:val="false"/>
          <w:color w:val="181717"/>
          <w:sz w:val="20"/>
        </w:rPr>
        <w:t xml:space="preserve">shares of the registrant’s Class A common stock and </w:t>
      </w:r>
      <w:r>
        <w:rPr>
          <w:rFonts w:ascii="Times New Roman;serif" w:hAnsi="Times New Roman;serif"/>
          <w:b w:val="false"/>
          <w:color w:val="000000"/>
          <w:sz w:val="20"/>
        </w:rPr>
        <w:t xml:space="preserve">468,081,977 </w:t>
      </w:r>
      <w:r>
        <w:rPr>
          <w:rFonts w:ascii="Times New Roman;serif" w:hAnsi="Times New Roman;serif"/>
          <w:b w:val="false"/>
          <w:color w:val="181717"/>
          <w:sz w:val="20"/>
        </w:rPr>
        <w:t xml:space="preserve">shares of the registrant’s Class B common stock outstanding. </w:t>
      </w:r>
    </w:p>
    <w:p>
      <w:pPr>
        <w:pStyle w:val="TextBody"/>
        <w:bidi w:val="0"/>
        <w:spacing w:before="240" w:after="283"/>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before="0" w:after="0"/>
        <w:jc w:val="center"/>
        <w:rPr/>
      </w:pPr>
      <w:r>
        <w:rPr/>
      </w:r>
    </w:p>
    <w:tbl>
      <w:tblPr>
        <w:tblW w:w="8266" w:type="dxa"/>
        <w:jc w:val="center"/>
        <w:tblInd w:w="0" w:type="dxa"/>
        <w:tblLayout w:type="fixed"/>
        <w:tblCellMar>
          <w:top w:w="28" w:type="dxa"/>
          <w:left w:w="28" w:type="dxa"/>
          <w:bottom w:w="28" w:type="dxa"/>
          <w:right w:w="28" w:type="dxa"/>
        </w:tblCellMar>
      </w:tblPr>
      <w:tblGrid>
        <w:gridCol w:w="158"/>
        <w:gridCol w:w="138"/>
        <w:gridCol w:w="140"/>
        <w:gridCol w:w="2428"/>
        <w:gridCol w:w="2428"/>
        <w:gridCol w:w="2433"/>
        <w:gridCol w:w="158"/>
        <w:gridCol w:w="158"/>
        <w:gridCol w:w="225"/>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428" w:type="dxa"/>
            <w:tcBorders/>
            <w:vAlign w:val="center"/>
          </w:tcPr>
          <w:p>
            <w:pPr>
              <w:pStyle w:val="TableContents"/>
              <w:bidi w:val="0"/>
              <w:spacing w:before="0" w:after="283"/>
              <w:jc w:val="left"/>
              <w:rPr>
                <w:sz w:val="4"/>
                <w:szCs w:val="4"/>
              </w:rPr>
            </w:pPr>
            <w:r>
              <w:rPr>
                <w:sz w:val="4"/>
                <w:szCs w:val="4"/>
              </w:rPr>
            </w:r>
          </w:p>
        </w:tc>
        <w:tc>
          <w:tcPr>
            <w:tcW w:w="2428" w:type="dxa"/>
            <w:tcBorders/>
            <w:vAlign w:val="center"/>
          </w:tcPr>
          <w:p>
            <w:pPr>
              <w:pStyle w:val="TableContents"/>
              <w:bidi w:val="0"/>
              <w:spacing w:before="0" w:after="283"/>
              <w:jc w:val="left"/>
              <w:rPr>
                <w:sz w:val="4"/>
                <w:szCs w:val="4"/>
              </w:rPr>
            </w:pPr>
            <w:r>
              <w:rPr>
                <w:sz w:val="4"/>
                <w:szCs w:val="4"/>
              </w:rPr>
            </w:r>
          </w:p>
        </w:tc>
        <w:tc>
          <w:tcPr>
            <w:tcW w:w="243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Item</w:t>
            </w:r>
          </w:p>
        </w:tc>
        <w:tc>
          <w:tcPr>
            <w:tcW w:w="7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Page</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033151b7bb4019ae5c5a950125e599_19">
              <w:r>
                <w:rPr>
                  <w:rStyle w:val="InternetLink"/>
                  <w:rFonts w:ascii="Times New Roman;serif" w:hAnsi="Times New Roman;serif"/>
                  <w:b w:val="false"/>
                  <w:color w:val="000080"/>
                  <w:sz w:val="18"/>
                  <w:u w:val="single"/>
                </w:rPr>
                <w:t>Cautionary Note Regarding Forward</w:t>
              </w:r>
            </w:hyperlink>
            <w:hyperlink w:anchor="i06033151b7bb4019ae5c5a950125e599_19">
              <w:r>
                <w:rPr>
                  <w:rStyle w:val="InternetLink"/>
                  <w:rFonts w:ascii="Times New Roman;serif" w:hAnsi="Times New Roman;serif"/>
                  <w:b w:val="false"/>
                  <w:color w:val="000080"/>
                  <w:sz w:val="18"/>
                  <w:u w:val="single"/>
                </w:rPr>
                <w:t>-</w:t>
              </w:r>
            </w:hyperlink>
            <w:hyperlink w:anchor="i06033151b7bb4019ae5c5a950125e599_19">
              <w:r>
                <w:rPr>
                  <w:rStyle w:val="InternetLink"/>
                  <w:rFonts w:ascii="Times New Roman;serif" w:hAnsi="Times New Roman;serif"/>
                  <w:b w:val="false"/>
                  <w:color w:val="000080"/>
                  <w:sz w:val="18"/>
                  <w:u w:val="single"/>
                </w:rPr>
                <w:t>Looking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6033151b7bb4019ae5c5a950125e599_19">
              <w:r>
                <w:rPr>
                  <w:rStyle w:val="InternetLink"/>
                  <w:rFonts w:ascii="Times New Roman;serif" w:hAnsi="Times New Roman;serif"/>
                  <w:b w:val="false"/>
                  <w:strike w:val="false"/>
                  <w:dstrike w:val="false"/>
                  <w:color w:val="000000"/>
                  <w:sz w:val="20"/>
                  <w:u w:val="none"/>
                  <w:effect w:val="none"/>
                </w:rPr>
                <w:t>2</w:t>
              </w:r>
            </w:hyperlink>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033151b7bb4019ae5c5a950125e599_1607">
              <w:r>
                <w:rPr>
                  <w:rStyle w:val="InternetLink"/>
                  <w:rFonts w:ascii="Times New Roman;serif" w:hAnsi="Times New Roman;serif"/>
                  <w:b w:val="false"/>
                  <w:color w:val="0000FF"/>
                  <w:sz w:val="18"/>
                  <w:u w:val="single"/>
                </w:rPr>
                <w:t>Website and Social Media Disclosure</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6033151b7bb4019ae5c5a950125e599_1607">
              <w:r>
                <w:rPr>
                  <w:rStyle w:val="InternetLink"/>
                  <w:rFonts w:ascii="Times New Roman;serif" w:hAnsi="Times New Roman;serif"/>
                  <w:b w:val="false"/>
                  <w:strike w:val="false"/>
                  <w:dstrike w:val="false"/>
                  <w:color w:val="000000"/>
                  <w:sz w:val="20"/>
                  <w:u w:val="none"/>
                  <w:effect w:val="none"/>
                </w:rPr>
                <w:t>3</w:t>
              </w:r>
            </w:hyperlink>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033151b7bb4019ae5c5a950125e599_1618">
              <w:r>
                <w:rPr>
                  <w:rStyle w:val="InternetLink"/>
                  <w:rFonts w:ascii="Times New Roman;serif" w:hAnsi="Times New Roman;serif"/>
                  <w:b w:val="false"/>
                  <w:color w:val="0000FF"/>
                  <w:sz w:val="18"/>
                  <w:u w:val="single"/>
                </w:rPr>
                <w:t>Certain Definitions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6033151b7bb4019ae5c5a950125e599_1618">
              <w:r>
                <w:rPr>
                  <w:rStyle w:val="InternetLink"/>
                  <w:rFonts w:ascii="Times New Roman;serif" w:hAnsi="Times New Roman;serif"/>
                  <w:b w:val="false"/>
                  <w:strike w:val="false"/>
                  <w:dstrike w:val="false"/>
                  <w:color w:val="000000"/>
                  <w:sz w:val="20"/>
                  <w:u w:val="none"/>
                  <w:effect w:val="none"/>
                </w:rPr>
                <w:t>4</w:t>
              </w:r>
            </w:hyperlink>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6033151b7bb4019ae5c5a950125e599_22">
              <w:r>
                <w:rPr>
                  <w:rStyle w:val="InternetLink"/>
                  <w:rFonts w:ascii="Times New Roman;serif" w:hAnsi="Times New Roman;serif"/>
                  <w:b w:val="false"/>
                  <w:color w:val="0000FF"/>
                  <w:sz w:val="18"/>
                  <w:u w:val="single"/>
                </w:rPr>
                <w:t>PART I—FINANCIAL INFORMATION</w:t>
              </w:r>
            </w:hyperlink>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72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033151b7bb4019ae5c5a950125e599_118">
              <w:r>
                <w:rPr>
                  <w:rStyle w:val="InternetLink"/>
                  <w:rFonts w:ascii="Times New Roman;serif" w:hAnsi="Times New Roman;serif"/>
                  <w:b w:val="false"/>
                  <w:color w:val="0000FF"/>
                  <w:sz w:val="18"/>
                  <w:u w:val="single"/>
                </w:rPr>
                <w:t>Financial Statements</w:t>
              </w:r>
            </w:hyperlink>
            <w:r>
              <w:rPr>
                <w:color w:val="000000"/>
              </w:rPr>
              <w:t xml:space="preserve"> </w:t>
            </w:r>
            <w:r>
              <w:rPr>
                <w:rFonts w:ascii="Times New Roman;serif" w:hAnsi="Times New Roman;serif"/>
                <w:b w:val="false"/>
                <w:color w:val="000000"/>
                <w:sz w:val="18"/>
              </w:rPr>
              <w:t>(Unaudited)</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6033151b7bb4019ae5c5a950125e599_118">
              <w:r>
                <w:rPr>
                  <w:rStyle w:val="InternetLink"/>
                  <w:rFonts w:ascii="Times New Roman;serif" w:hAnsi="Times New Roman;serif"/>
                  <w:b w:val="false"/>
                  <w:strike w:val="false"/>
                  <w:dstrike w:val="false"/>
                  <w:color w:val="000000"/>
                  <w:sz w:val="20"/>
                  <w:u w:val="none"/>
                  <w:effect w:val="none"/>
                </w:rPr>
                <w:t>5</w:t>
              </w:r>
            </w:hyperlink>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033151b7bb4019ae5c5a950125e599_124">
              <w:r>
                <w:rPr>
                  <w:rStyle w:val="InternetLink"/>
                  <w:rFonts w:ascii="Times New Roman;serif" w:hAnsi="Times New Roman;serif"/>
                  <w:b w:val="false"/>
                  <w:color w:val="0000FF"/>
                  <w:sz w:val="18"/>
                  <w:u w:val="single"/>
                </w:rPr>
                <w:t>Condensed Consolidated Balance Sheets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6033151b7bb4019ae5c5a950125e599_124">
              <w:r>
                <w:rPr>
                  <w:rStyle w:val="InternetLink"/>
                  <w:rFonts w:ascii="Times New Roman;serif" w:hAnsi="Times New Roman;serif"/>
                  <w:b w:val="false"/>
                  <w:strike w:val="false"/>
                  <w:dstrike w:val="false"/>
                  <w:color w:val="000000"/>
                  <w:sz w:val="20"/>
                  <w:u w:val="none"/>
                  <w:effect w:val="none"/>
                </w:rPr>
                <w:t>6</w:t>
              </w:r>
            </w:hyperlink>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033151b7bb4019ae5c5a950125e599_127">
              <w:r>
                <w:rPr>
                  <w:rStyle w:val="InternetLink"/>
                  <w:rFonts w:ascii="Times New Roman;serif" w:hAnsi="Times New Roman;serif"/>
                  <w:b w:val="false"/>
                  <w:color w:val="0000FF"/>
                  <w:sz w:val="18"/>
                  <w:u w:val="single"/>
                </w:rPr>
                <w:t>Condensed Consolidated Statements of Comprehensive Income</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6033151b7bb4019ae5c5a950125e599_127">
              <w:r>
                <w:rPr>
                  <w:rStyle w:val="InternetLink"/>
                  <w:rFonts w:ascii="Times New Roman;serif" w:hAnsi="Times New Roman;serif"/>
                  <w:b w:val="false"/>
                  <w:strike w:val="false"/>
                  <w:dstrike w:val="false"/>
                  <w:color w:val="000000"/>
                  <w:sz w:val="20"/>
                  <w:u w:val="none"/>
                  <w:effect w:val="none"/>
                </w:rPr>
                <w:t>7</w:t>
              </w:r>
            </w:hyperlink>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033151b7bb4019ae5c5a950125e599_130">
              <w:r>
                <w:rPr>
                  <w:rStyle w:val="InternetLink"/>
                  <w:rFonts w:ascii="Times New Roman;serif" w:hAnsi="Times New Roman;serif"/>
                  <w:b w:val="false"/>
                  <w:color w:val="0000FF"/>
                  <w:sz w:val="18"/>
                  <w:u w:val="single"/>
                </w:rPr>
                <w:t>Condensed Consolidated Statements of Stockholders' Equity, Mezzanine Equity and Partners’ Capital</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6033151b7bb4019ae5c5a950125e599_130">
              <w:r>
                <w:rPr>
                  <w:rStyle w:val="InternetLink"/>
                  <w:rFonts w:ascii="Times New Roman;serif" w:hAnsi="Times New Roman;serif"/>
                  <w:b w:val="false"/>
                  <w:strike w:val="false"/>
                  <w:dstrike w:val="false"/>
                  <w:color w:val="000000"/>
                  <w:sz w:val="20"/>
                  <w:u w:val="none"/>
                  <w:effect w:val="none"/>
                </w:rPr>
                <w:t>8</w:t>
              </w:r>
            </w:hyperlink>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033151b7bb4019ae5c5a950125e599_133">
              <w:r>
                <w:rPr>
                  <w:rStyle w:val="InternetLink"/>
                  <w:rFonts w:ascii="Times New Roman;serif" w:hAnsi="Times New Roman;serif"/>
                  <w:b w:val="false"/>
                  <w:color w:val="0000FF"/>
                  <w:sz w:val="18"/>
                  <w:u w:val="single"/>
                </w:rPr>
                <w:t>Condensed Consolidated Statements of Cash Flows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6033151b7bb4019ae5c5a950125e599_133">
              <w:r>
                <w:rPr>
                  <w:rStyle w:val="InternetLink"/>
                  <w:rFonts w:ascii="Times New Roman;serif" w:hAnsi="Times New Roman;serif"/>
                  <w:b w:val="false"/>
                  <w:strike w:val="false"/>
                  <w:dstrike w:val="false"/>
                  <w:color w:val="000000"/>
                  <w:sz w:val="20"/>
                  <w:u w:val="none"/>
                  <w:effect w:val="none"/>
                </w:rPr>
                <w:t>9</w:t>
              </w:r>
            </w:hyperlink>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033151b7bb4019ae5c5a950125e599_136">
              <w:r>
                <w:rPr>
                  <w:rStyle w:val="InternetLink"/>
                  <w:rFonts w:ascii="Times New Roman;serif" w:hAnsi="Times New Roman;serif"/>
                  <w:b w:val="false"/>
                  <w:color w:val="0000FF"/>
                  <w:sz w:val="18"/>
                  <w:u w:val="single"/>
                </w:rPr>
                <w:t>Notes to Condensed Consolidated 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6033151b7bb4019ae5c5a950125e599_136">
              <w:r>
                <w:rPr>
                  <w:rStyle w:val="InternetLink"/>
                  <w:rFonts w:ascii="Times New Roman;serif" w:hAnsi="Times New Roman;serif"/>
                  <w:b w:val="false"/>
                  <w:strike w:val="false"/>
                  <w:dstrike w:val="false"/>
                  <w:color w:val="000000"/>
                  <w:sz w:val="20"/>
                  <w:u w:val="none"/>
                  <w:effect w:val="none"/>
                </w:rPr>
                <w:t>10</w:t>
              </w:r>
            </w:hyperlink>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w:t>
            </w:r>
          </w:p>
        </w:tc>
        <w:tc>
          <w:tcPr>
            <w:tcW w:w="72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033151b7bb4019ae5c5a950125e599_55">
              <w:r>
                <w:rPr>
                  <w:rStyle w:val="InternetLink"/>
                  <w:rFonts w:ascii="Times New Roman;serif" w:hAnsi="Times New Roman;serif"/>
                  <w:b w:val="false"/>
                  <w:color w:val="0000FF"/>
                  <w:sz w:val="18"/>
                  <w:u w:val="single"/>
                </w:rPr>
                <w:t>Management's Discussion and Analysis of Financial Condition and Results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6033151b7bb4019ae5c5a950125e599_55">
              <w:r>
                <w:rPr>
                  <w:rStyle w:val="InternetLink"/>
                  <w:rFonts w:ascii="Times New Roman;serif" w:hAnsi="Times New Roman;serif"/>
                  <w:b w:val="false"/>
                  <w:strike w:val="false"/>
                  <w:dstrike w:val="false"/>
                  <w:color w:val="000000"/>
                  <w:sz w:val="20"/>
                  <w:u w:val="none"/>
                  <w:effect w:val="none"/>
                </w:rPr>
                <w:t>33</w:t>
              </w:r>
            </w:hyperlink>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3.</w:t>
            </w:r>
          </w:p>
        </w:tc>
        <w:tc>
          <w:tcPr>
            <w:tcW w:w="72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033151b7bb4019ae5c5a950125e599_115">
              <w:r>
                <w:rPr>
                  <w:rStyle w:val="InternetLink"/>
                  <w:rFonts w:ascii="Times New Roman;serif" w:hAnsi="Times New Roman;serif"/>
                  <w:b w:val="false"/>
                  <w:color w:val="0000FF"/>
                  <w:sz w:val="18"/>
                  <w:u w:val="single"/>
                </w:rPr>
                <w:t>Quantitative and Qualitative Disclosures About Market Risk</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6033151b7bb4019ae5c5a950125e599_115">
              <w:r>
                <w:rPr>
                  <w:rStyle w:val="InternetLink"/>
                  <w:rFonts w:ascii="Times New Roman;serif" w:hAnsi="Times New Roman;serif"/>
                  <w:b w:val="false"/>
                  <w:strike w:val="false"/>
                  <w:dstrike w:val="false"/>
                  <w:color w:val="000000"/>
                  <w:sz w:val="20"/>
                  <w:u w:val="none"/>
                  <w:effect w:val="none"/>
                </w:rPr>
                <w:t>41</w:t>
              </w:r>
            </w:hyperlink>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w:t>
            </w:r>
          </w:p>
        </w:tc>
        <w:tc>
          <w:tcPr>
            <w:tcW w:w="72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033151b7bb4019ae5c5a950125e599_223">
              <w:r>
                <w:rPr>
                  <w:rStyle w:val="InternetLink"/>
                  <w:rFonts w:ascii="Times New Roman;serif" w:hAnsi="Times New Roman;serif"/>
                  <w:b w:val="false"/>
                  <w:color w:val="0000FF"/>
                  <w:sz w:val="18"/>
                  <w:u w:val="single"/>
                </w:rPr>
                <w:t>Controls and Procedures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6033151b7bb4019ae5c5a950125e599_223">
              <w:r>
                <w:rPr>
                  <w:rStyle w:val="InternetLink"/>
                  <w:rFonts w:ascii="Times New Roman;serif" w:hAnsi="Times New Roman;serif"/>
                  <w:b w:val="false"/>
                  <w:strike w:val="false"/>
                  <w:dstrike w:val="false"/>
                  <w:color w:val="000000"/>
                  <w:sz w:val="20"/>
                  <w:u w:val="none"/>
                  <w:effect w:val="none"/>
                </w:rPr>
                <w:t>42</w:t>
              </w:r>
            </w:hyperlink>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6033151b7bb4019ae5c5a950125e599_46">
              <w:r>
                <w:rPr>
                  <w:rStyle w:val="InternetLink"/>
                  <w:rFonts w:ascii="Times New Roman;serif" w:hAnsi="Times New Roman;serif"/>
                  <w:b w:val="false"/>
                  <w:color w:val="0000FF"/>
                  <w:sz w:val="18"/>
                  <w:u w:val="single"/>
                </w:rPr>
                <w:t>PART II—OTHER INFORMATION</w:t>
              </w:r>
            </w:hyperlink>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72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033151b7bb4019ae5c5a950125e599_40">
              <w:r>
                <w:rPr>
                  <w:rStyle w:val="InternetLink"/>
                  <w:rFonts w:ascii="Times New Roman;serif" w:hAnsi="Times New Roman;serif"/>
                  <w:b w:val="false"/>
                  <w:color w:val="0000FF"/>
                  <w:sz w:val="18"/>
                  <w:u w:val="single"/>
                </w:rPr>
                <w:t>Legal Proceedings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6033151b7bb4019ae5c5a950125e599_40">
              <w:r>
                <w:rPr>
                  <w:rStyle w:val="InternetLink"/>
                  <w:rFonts w:ascii="Times New Roman;serif" w:hAnsi="Times New Roman;serif"/>
                  <w:b w:val="false"/>
                  <w:strike w:val="false"/>
                  <w:dstrike w:val="false"/>
                  <w:color w:val="000000"/>
                  <w:sz w:val="20"/>
                  <w:u w:val="none"/>
                  <w:effect w:val="none"/>
                </w:rPr>
                <w:t>42</w:t>
              </w:r>
            </w:hyperlink>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1A.</w:t>
            </w:r>
          </w:p>
        </w:tc>
        <w:tc>
          <w:tcPr>
            <w:tcW w:w="72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033151b7bb4019ae5c5a950125e599_28">
              <w:r>
                <w:rPr>
                  <w:rStyle w:val="InternetLink"/>
                  <w:rFonts w:ascii="Times New Roman;serif" w:hAnsi="Times New Roman;serif"/>
                  <w:b w:val="false"/>
                  <w:color w:val="0000FF"/>
                  <w:sz w:val="18"/>
                  <w:u w:val="single"/>
                </w:rPr>
                <w:t>Risk Factors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6033151b7bb4019ae5c5a950125e599_28">
              <w:r>
                <w:rPr>
                  <w:rStyle w:val="InternetLink"/>
                  <w:rFonts w:ascii="Times New Roman;serif" w:hAnsi="Times New Roman;serif"/>
                  <w:b w:val="false"/>
                  <w:strike w:val="false"/>
                  <w:dstrike w:val="false"/>
                  <w:color w:val="000000"/>
                  <w:sz w:val="20"/>
                  <w:u w:val="none"/>
                  <w:effect w:val="none"/>
                </w:rPr>
                <w:t>43</w:t>
              </w:r>
            </w:hyperlink>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w:t>
            </w:r>
          </w:p>
        </w:tc>
        <w:tc>
          <w:tcPr>
            <w:tcW w:w="72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033151b7bb4019ae5c5a950125e599_49">
              <w:r>
                <w:rPr>
                  <w:rStyle w:val="InternetLink"/>
                  <w:rFonts w:ascii="Times New Roman;serif" w:hAnsi="Times New Roman;serif"/>
                  <w:b w:val="false"/>
                  <w:color w:val="0000FF"/>
                  <w:sz w:val="18"/>
                  <w:u w:val="single"/>
                </w:rPr>
                <w:t>Unregistered Sales of Equity Securities and Use of Proceeds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6033151b7bb4019ae5c5a950125e599_49">
              <w:r>
                <w:rPr>
                  <w:rStyle w:val="InternetLink"/>
                  <w:rFonts w:ascii="Times New Roman;serif" w:hAnsi="Times New Roman;serif"/>
                  <w:b w:val="false"/>
                  <w:strike w:val="false"/>
                  <w:dstrike w:val="false"/>
                  <w:color w:val="000000"/>
                  <w:sz w:val="20"/>
                  <w:u w:val="none"/>
                  <w:effect w:val="none"/>
                </w:rPr>
                <w:t>43</w:t>
              </w:r>
            </w:hyperlink>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3.</w:t>
            </w:r>
          </w:p>
        </w:tc>
        <w:tc>
          <w:tcPr>
            <w:tcW w:w="72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033151b7bb4019ae5c5a950125e599_1357">
              <w:r>
                <w:rPr>
                  <w:rStyle w:val="InternetLink"/>
                  <w:rFonts w:ascii="Times New Roman;serif" w:hAnsi="Times New Roman;serif"/>
                  <w:b w:val="false"/>
                  <w:color w:val="0000FF"/>
                  <w:sz w:val="18"/>
                  <w:u w:val="single"/>
                </w:rPr>
                <w:t>Defaults Upon Senior Securities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6033151b7bb4019ae5c5a950125e599_1357">
              <w:r>
                <w:rPr>
                  <w:rStyle w:val="InternetLink"/>
                  <w:rFonts w:ascii="Times New Roman;serif" w:hAnsi="Times New Roman;serif"/>
                  <w:b w:val="false"/>
                  <w:strike w:val="false"/>
                  <w:dstrike w:val="false"/>
                  <w:color w:val="000000"/>
                  <w:sz w:val="20"/>
                  <w:u w:val="none"/>
                  <w:effect w:val="none"/>
                </w:rPr>
                <w:t>43</w:t>
              </w:r>
            </w:hyperlink>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w:t>
            </w:r>
          </w:p>
        </w:tc>
        <w:tc>
          <w:tcPr>
            <w:tcW w:w="72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033151b7bb4019ae5c5a950125e599_43">
              <w:r>
                <w:rPr>
                  <w:rStyle w:val="InternetLink"/>
                  <w:rFonts w:ascii="Times New Roman;serif" w:hAnsi="Times New Roman;serif"/>
                  <w:b w:val="false"/>
                  <w:color w:val="0000FF"/>
                  <w:sz w:val="18"/>
                  <w:u w:val="single"/>
                </w:rPr>
                <w:t>Mine Safety Disclosures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6033151b7bb4019ae5c5a950125e599_43">
              <w:r>
                <w:rPr>
                  <w:rStyle w:val="InternetLink"/>
                  <w:rFonts w:ascii="Times New Roman;serif" w:hAnsi="Times New Roman;serif"/>
                  <w:b w:val="false"/>
                  <w:strike w:val="false"/>
                  <w:dstrike w:val="false"/>
                  <w:color w:val="000000"/>
                  <w:sz w:val="20"/>
                  <w:u w:val="none"/>
                  <w:effect w:val="none"/>
                </w:rPr>
                <w:t>43</w:t>
              </w:r>
            </w:hyperlink>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5.</w:t>
            </w:r>
          </w:p>
        </w:tc>
        <w:tc>
          <w:tcPr>
            <w:tcW w:w="72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033151b7bb4019ae5c5a950125e599_226">
              <w:r>
                <w:rPr>
                  <w:rStyle w:val="InternetLink"/>
                  <w:rFonts w:ascii="Times New Roman;serif" w:hAnsi="Times New Roman;serif"/>
                  <w:b w:val="false"/>
                  <w:color w:val="0000FF"/>
                  <w:sz w:val="18"/>
                  <w:u w:val="single"/>
                </w:rPr>
                <w:t>Other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6033151b7bb4019ae5c5a950125e599_226">
              <w:r>
                <w:rPr>
                  <w:rStyle w:val="InternetLink"/>
                  <w:rFonts w:ascii="Times New Roman;serif" w:hAnsi="Times New Roman;serif"/>
                  <w:b w:val="false"/>
                  <w:strike w:val="false"/>
                  <w:dstrike w:val="false"/>
                  <w:color w:val="000000"/>
                  <w:sz w:val="20"/>
                  <w:u w:val="none"/>
                  <w:effect w:val="none"/>
                </w:rPr>
                <w:t>43</w:t>
              </w:r>
            </w:hyperlink>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6.</w:t>
            </w:r>
          </w:p>
        </w:tc>
        <w:tc>
          <w:tcPr>
            <w:tcW w:w="72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033151b7bb4019ae5c5a950125e599_253">
              <w:r>
                <w:rPr>
                  <w:rStyle w:val="InternetLink"/>
                  <w:rFonts w:ascii="Times New Roman;serif" w:hAnsi="Times New Roman;serif"/>
                  <w:b w:val="false"/>
                  <w:color w:val="0000FF"/>
                  <w:sz w:val="18"/>
                  <w:u w:val="single"/>
                </w:rPr>
                <w:t>Exhibits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6033151b7bb4019ae5c5a950125e599_253">
              <w:r>
                <w:rPr>
                  <w:rStyle w:val="InternetLink"/>
                  <w:rFonts w:ascii="Times New Roman;serif" w:hAnsi="Times New Roman;serif"/>
                  <w:b w:val="false"/>
                  <w:strike w:val="false"/>
                  <w:dstrike w:val="false"/>
                  <w:color w:val="000000"/>
                  <w:sz w:val="20"/>
                  <w:u w:val="none"/>
                  <w:effect w:val="none"/>
                </w:rPr>
                <w:t>44</w:t>
              </w:r>
            </w:hyperlink>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033151b7bb4019ae5c5a950125e599_259">
              <w:r>
                <w:rPr>
                  <w:rStyle w:val="InternetLink"/>
                  <w:rFonts w:ascii="Times New Roman;serif" w:hAnsi="Times New Roman;serif"/>
                  <w:b w:val="false"/>
                  <w:color w:val="0000FF"/>
                  <w:sz w:val="18"/>
                  <w:u w:val="single"/>
                </w:rPr>
                <w:t>Signatures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6033151b7bb4019ae5c5a950125e599_259">
              <w:r>
                <w:rPr>
                  <w:rStyle w:val="InternetLink"/>
                  <w:rFonts w:ascii="Times New Roman;serif" w:hAnsi="Times New Roman;serif"/>
                  <w:b w:val="false"/>
                  <w:strike w:val="false"/>
                  <w:dstrike w:val="false"/>
                  <w:color w:val="000000"/>
                  <w:sz w:val="20"/>
                  <w:u w:val="none"/>
                  <w:effect w:val="none"/>
                </w:rPr>
                <w:t>45</w:t>
              </w:r>
            </w:hyperlink>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95250"/>
                <wp:effectExtent l="0" t="0" r="0" b="0"/>
                <wp:wrapNone/>
                <wp:docPr id="2" name="Frame2"/>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(this “Quarterly Report”)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Forward-looking statements include all statements that are not historical facts. Words such as “anticipate,” “assume,” “believe” “contemplate,” “continue,” “could,” “estimate,” “expect,” “foreseeable,” “intend,” “may,” “plan,” “potentially,” “predict,” “project,” “seek,” “should,” “will,” or “would,” or similar words or phrases that convey uncertainty of future events or outcomes, are intended to identify forward-looking statements in this Quarterly Report. These forward-looking statements relate to matters such as our industry, business strategy, costs, and costs savings, impacts of accounting standards and guidance, goals and expectations, market position, future operations, margins, profitability, capital expenditures, liquidity and capital resources, legal matters, trends, and other financial and operating information. The forward-looking statements are based on management’s current expectations and are subject to various risks, uncertainty, and changes in circumstances, many of which are beyond our control, that could cause actual results to differ materially. Although we believe that the assumptions underlying the forward-looking statements are reasonable, we cannot guarantee future results, level of activity, performance, or achievements. Factors that may cause actual results to differ from expected results include, but are not limited to, the following: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global operations are subject to inherent risks that could materially adversely affect our business, results of operations, and financial condition.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be unable to derive fully the anticipated benefits from our existing or future acquisitions, joint ventures, investments, dispositions, or other strategic transactions.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Consolidation in the healthcare industry could have an adverse effect on our business, results of operations, and financial condition.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operate in a highly competitive industry, with accelerating pricing pressure and changes in technology.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to the U.S. and global healthcare environments may not be favorable to us.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Increases in shipping costs or service issues with our third-party shippers could harm our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Significant challenges or delays in our sourcing of new products and technologies could have an adverse impact on our long-term success.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have concentration in and dependence on certain healthcare provider customers and Group Purchasing Organizations.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business and operations depend on the proper functioning of our critical facilities and distribution networks and could be negatively impacted by events outside our control.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Quality problems and product liability claims have in the past led, and could in the future lead, to recalls or safety alerts, reputational harm, adverse verdicts, or costly settlements, and could have a material adverse effect on our business, results of operations, and financial condition.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failure to establish and maintain Prime Vendor relationships may cause our revenue to decline.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If we experience increased pressure to maintain or decrease the price of our goods and services and we are unable to reduce our expenses, there may be a material adverse effect on our business, results of operations, and financial condition.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Any failure by or loss of a third-party manufacturer or supplier or other manufacturing or supply-related impacts could result in delays and increased costs, which may adversely affect our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rely on the proper function, security, and availability of our information technology systems and data, as well as those of third parties throughout our global supply chain, to operate our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are subject to extensive and complex laws and governmental regulations and any adverse regulatory action may materially adversely affect our business, results of operations, and financial condition both inside and outside the United States.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are subject to complex and rapidly evolving data privacy, security, and data protection laws and regulations and the costs to comply with such laws and regulations or any ineffective compliance efforts with such laws and regulations may adversely impact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95250"/>
                <wp:effectExtent l="0" t="0" r="0" b="0"/>
                <wp:wrapNone/>
                <wp:docPr id="3" name="Frame3"/>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use or our third-party service providers’ or business partners’ use of artificial intelligence, automated decision-making and machine learning technologies and the evolving regulatory framework in this area may subject us to risks or heightened costs that could adversely affect business, results of operation and financial condition.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failure to comply with laws and regulations relating to reimbursement of healthcare goods and services may subject us to penalties and adversely impact our reputation, business, results of operations, financial condition, and cash flows.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Uncertain global and domestic macro-economic and political conditions, including as a result of global geopolitical conflicts and tensions, such as the ongoing conflicts in Ukraine and the Middle East, could materially adversely affect our business, results of operations, and financial condition.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substantial indebtedness could adversely affect our financial condition, our ability to operate our business or react to changes in the economy or our industry, prevent us from fulfilling our obligations under our debts, and divert our cash flow from operations for debt payments.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credit agreement that governs the Senior Secured Credit Facilities and the indentures that govern the Senior Notes will each impose significant operating and financial restrictions on our subsidiaries, which may prevent us from capitalizing on business opportunities.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Medline Inc. is a holding company and its only material assets are its equity interests held directly or indirectly through wholly owned subsidiaries in Medline Holdings, LP (“Medline Holdings”), and it is accordingly dependent upon distributions from Medline Holdings to pay taxes, make payments under the tax receivable agreement, and pay any dividends.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Designating Stockholders hold a significant percentage of our stock, and their interests may conflict with ours or yours in the future.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amended and restated certificate of incorporation does not limit the ability of our Sponsors, the Mills family, and certain other pre-IPO investors to compete with us, and they may have investments in businesses whose interests conflict with ours.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more information regarding these and other risks and uncertainties that we face, see Part I, “Item 1A—Risk Factors” of our Annual Report on Form 10-K for the year ended December 31, 2025 (the “2025 Form 10-K”). The forward-looking statements included in this Quarterly Report speak only as of the date of this Quarterly Report or as of the date they are made, as applicable. Except as otherwise required by law, we disclaim any intent or obligation to update any “forward-looking statement” made in this Quarterly Report to reflect changed assumptions, the occurrence of unanticipated events, or changes to future operating results over time.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WEBSITE AND SOCIAL MEDIA DISCLOSURE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file electronically with the U.S. Securities and Exchange Commission (the “SEC”) our Annual Reports on Form 10-K, Quarterly Reports on Form 10-Q, Current Reports on Form 8-K, proxy statements and other forms or reports as required. Our filings with the SEC are available to the public over the Internet at the SEC’s website at www.sec.gov. We also use our investor relations website at ir.medline.com, press releases, public conference calls and webcasts, and social media as routine channels of distribution to communicate important, and often material, information about Medline to investors and the public, including information about our financial performance and results, analyst and investor presentations, investor days, products, solutions, sustainability initiatives, and corporate governance practices. We encourage you to follow these channels, in addition to our SEC filings, for timely information about the Company. Our SEC filings, including Annual Reports on Form 10-K, Quarterly Reports on Form 10-Q, Current Reports on Form 8-K, and amendments to those reports filed or furnished pursuant to Section 13(a) or 15(d) of the Exchange Act, are available free of charge on our investor relations website as soon as reasonably practicable after they are filed with or furnished to the SEC. The information on our websites is not part of this Quarterly Report and is not incorporated by reference into this report or any other filing we make with the SEC.</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95250"/>
                <wp:effectExtent l="0" t="0" r="0" b="0"/>
                <wp:wrapNone/>
                <wp:docPr id="4" name="Frame4"/>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CERTAIN DEFINITIONS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used in this Quarterly Report, unless otherwise noted or the context requires otherwise, the following terms have the following meanings: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Class A Units” refers to the interests in Medline Holdings called “Class A Units” that were outstanding prior to the Reclassification. In connection with the Reclassification, (i) Class A Units held by Common Unitholders were converted into Common Units and (ii) Class A Units held by Exchanging Class A Unitholders were directly or indirectly exchanged for shares of Class A common stock.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Class B Units” refers to the interests in Medline Holdings called “Class B Units” that were outstanding prior to the Reclassification, and does not include CUPI Units. In connection with the Reclassification, (i) Class B Units held by Incentive Unitholders were converted into Incentive Units and (ii) Class B Units held by Exchanging Class B Unitholders were directly or indirectly exchanged for shares of Class A common stock (in the case of vested Class B Units) and/or restricted shares of Class A common stock (in the case of unvested Class B Units).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Common Units” refers to the new class of units of Medline Holdings created by the Reclassification and does not include Incentive Units.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Common Unitholders” refers to certain pre-IPO holders of Class A Units and/or CUPI Units who hold Common Units following the Reclassification.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CUPI Units” refers to the interests in Medline Holdings that were designated as “Catch-Up Class B Units” and outstanding prior to the Reclassification. In connection with the Reclassification, (i) CUPI Units held by Common Unitholders were converted into Common Units and (ii) CUPI Units held by Exchanging CUPI Unitholders were directly or indirectly exchanged for shares of Class A common stock.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Designating Stockholder” refers to each of our Principal Stockholders with whom we entered into separate director nomination agreements.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Exchanging Class A Unitholder” refers to pre-IPO holders of Class A Units whose Class A Units were directly or indirectly exchanged for shares of Class A common stock following the Reclassification.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Exchanging Class B Unitholder” refers to pre-IPO holders of Class B Units whose Class B Units were directly or indirectly exchanged for shares of Class A common stock (in the case of vested Class B Units) and/or restricted shares of Class A common stock (in the case of unvested Class B Units) following the Reclassification.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Exchanging CUPI Unitholder” refers to pre-IPO holders of CUPI Units whose CUPI Units were directly or indirectly exchanged for shares of Class A common stock following the Reclassification.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Exchanging Unitholders” refers collectively to Exchanging Class A Unitholders, Exchanging CUPI Unitholders, and Exchanging Class B Unitholders.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Incentive Units” refers to the new class of units of Medline Holdings created by the reclassification of the Class B Units in the Reclassification. The Incentive Units are “profit interests” having economic characteristics similar to stock appreciation rights and having the right to share in any equity value of Medline Holdings above specified participation thresholds. Vested Incentive Units may be converted to Common Units and be subsequently exchanged for shares of Class A common stock.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Incentive Unitholders” refers to certain pre-IPO holders of Class B Units who will hold Incentive Units following the Reclassification.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IPO” refers to our initial public offering of Class A common stock, which was completed on December 18,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Principal Stockholders” refers collectively to investment funds associated with Blackstone Inc., The Carlyle Group Inc. and Hellman &amp; Friedman LLC, and members of the Mills family.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Reclassification” refers to the reclassification of the partnership interests of Medline Holdings prior to the IPO.</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Sponsors” refers collectively to Blackstone Inc., The Carlyle Group Inc., and Hellman &amp; Friedman LLC.</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Units” refers collectively to Common Units and Incentive Units.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95250"/>
                <wp:effectExtent l="0" t="0" r="0" b="0"/>
                <wp:wrapNone/>
                <wp:docPr id="5" name="Frame5"/>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4</w:t>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PART I—FINANCIAL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95250"/>
                <wp:effectExtent l="0" t="0" r="0" b="0"/>
                <wp:wrapNone/>
                <wp:docPr id="6" name="Frame6"/>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5</w:t>
                      </w:r>
                    </w:p>
                  </w:txbxContent>
                </v:textbox>
                <w10:wrap type="none"/>
              </v:rect>
            </w:pict>
          </mc:Fallback>
        </mc:AlternateContent>
      </w:r>
    </w:p>
    <w:p>
      <w:pPr>
        <w:pStyle w:val="TextBody"/>
        <w:bidi w:val="0"/>
        <w:spacing w:before="0" w:after="0"/>
        <w:jc w:val="center"/>
        <w:rPr/>
      </w:pPr>
      <w:r>
        <w:rPr/>
      </w:r>
    </w:p>
    <w:tbl>
      <w:tblPr>
        <w:tblW w:w="1454" w:type="dxa"/>
        <w:jc w:val="center"/>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tbl>
      <w:tblPr>
        <w:tblW w:w="10205" w:type="dxa"/>
        <w:jc w:val="center"/>
        <w:tblInd w:w="0" w:type="dxa"/>
        <w:tblLayout w:type="fixed"/>
        <w:tblCellMar>
          <w:top w:w="28" w:type="dxa"/>
          <w:left w:w="28" w:type="dxa"/>
          <w:bottom w:w="28" w:type="dxa"/>
          <w:right w:w="28" w:type="dxa"/>
        </w:tblCellMar>
      </w:tblPr>
      <w:tblGrid>
        <w:gridCol w:w="2775"/>
        <w:gridCol w:w="1980"/>
        <w:gridCol w:w="1997"/>
        <w:gridCol w:w="347"/>
        <w:gridCol w:w="1143"/>
        <w:gridCol w:w="192"/>
        <w:gridCol w:w="109"/>
        <w:gridCol w:w="109"/>
        <w:gridCol w:w="109"/>
        <w:gridCol w:w="283"/>
        <w:gridCol w:w="934"/>
        <w:gridCol w:w="227"/>
      </w:tblGrid>
      <w:tr>
        <w:trPr/>
        <w:tc>
          <w:tcPr>
            <w:tcW w:w="2775"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tcMar>
              <w:top w:w="0" w:type="dxa"/>
              <w:left w:w="0" w:type="dxa"/>
              <w:bottom w:w="0" w:type="dxa"/>
              <w:right w:w="0" w:type="dxa"/>
            </w:tcMar>
            <w:vAlign w:val="center"/>
          </w:tcPr>
          <w:p>
            <w:pPr>
              <w:pStyle w:val="TableContents"/>
              <w:bidi w:val="0"/>
              <w:spacing w:lineRule="auto" w:line="288" w:before="0" w:after="0"/>
              <w:ind w:left="0" w:right="0" w:hanging="0"/>
              <w:jc w:val="left"/>
              <w:rPr>
                <w:rFonts w:ascii="Times New Roman;serif" w:hAnsi="Times New Roman;serif"/>
                <w:b w:val="false"/>
                <w:i/>
                <w:color w:val="000000"/>
                <w:sz w:val="18"/>
              </w:rPr>
            </w:pPr>
            <w:r>
              <w:rPr>
                <w:rFonts w:ascii="Times New Roman;serif" w:hAnsi="Times New Roman;serif"/>
                <w:b w:val="false"/>
                <w:i/>
                <w:color w:val="000000"/>
                <w:sz w:val="18"/>
              </w:rPr>
              <w:t>(in millions, except per share amounts)</w:t>
            </w:r>
          </w:p>
        </w:tc>
        <w:tc>
          <w:tcPr>
            <w:tcW w:w="16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As of March 28, 2026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lineRule="auto" w:line="288" w:before="0" w:after="283"/>
              <w:ind w:left="0" w:right="0" w:hanging="0"/>
              <w:jc w:val="center"/>
              <w:rPr>
                <w:rFonts w:ascii="Times New Roman;serif" w:hAnsi="Times New Roman;serif"/>
                <w:b w:val="false"/>
                <w:color w:val="000000"/>
                <w:sz w:val="18"/>
              </w:rPr>
            </w:pPr>
            <w:r>
              <w:rPr>
                <w:rFonts w:ascii="Times New Roman;serif" w:hAnsi="Times New Roman;serif"/>
                <w:b w:val="false"/>
                <w:color w:val="000000"/>
                <w:sz w:val="18"/>
              </w:rPr>
              <w:t>As of December 31, 2025</w:t>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6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1,939 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Trade accounts receivable, net of allowance for credit losses of $148 and $152 as of March 28, 2026 and December 31, 2025, respectively</w:t>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3,674 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3,533 </w:t>
            </w:r>
          </w:p>
        </w:tc>
        <w:tc>
          <w:tcPr>
            <w:tcW w:w="227"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4,807 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4,769 </w:t>
            </w:r>
          </w:p>
        </w:tc>
        <w:tc>
          <w:tcPr>
            <w:tcW w:w="227"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438 </w:t>
            </w:r>
          </w:p>
        </w:tc>
        <w:tc>
          <w:tcPr>
            <w:tcW w:w="227"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11,180 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10,679 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2"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4,758 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4,778 </w:t>
            </w:r>
          </w:p>
        </w:tc>
        <w:tc>
          <w:tcPr>
            <w:tcW w:w="227"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16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8,076 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8,079 </w:t>
            </w:r>
          </w:p>
        </w:tc>
        <w:tc>
          <w:tcPr>
            <w:tcW w:w="227"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13,717 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13,893 </w:t>
            </w:r>
          </w:p>
        </w:tc>
        <w:tc>
          <w:tcPr>
            <w:tcW w:w="227"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583 </w:t>
            </w:r>
          </w:p>
        </w:tc>
        <w:tc>
          <w:tcPr>
            <w:tcW w:w="227"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472 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non-current assets</w:t>
            </w:r>
          </w:p>
        </w:tc>
        <w:tc>
          <w:tcPr>
            <w:tcW w:w="14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23,076 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23,027 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39,014 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38,484 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6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6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borrowings and other short-term borrowings</w:t>
            </w:r>
          </w:p>
        </w:tc>
        <w:tc>
          <w:tcPr>
            <w:tcW w:w="3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227"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961 </w:t>
            </w:r>
          </w:p>
        </w:tc>
        <w:tc>
          <w:tcPr>
            <w:tcW w:w="227"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1,452 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2"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2,536 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2,490 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2"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liabilities</w:t>
            </w:r>
          </w:p>
        </w:tc>
        <w:tc>
          <w:tcPr>
            <w:tcW w:w="1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borrowings, less current portion</w:t>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12,495 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12,484 </w:t>
            </w:r>
          </w:p>
        </w:tc>
        <w:tc>
          <w:tcPr>
            <w:tcW w:w="227"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Tax receivable agreement liability</w:t>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3,542 </w:t>
            </w:r>
          </w:p>
        </w:tc>
        <w:tc>
          <w:tcPr>
            <w:tcW w:w="227"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682 </w:t>
            </w:r>
          </w:p>
        </w:tc>
        <w:tc>
          <w:tcPr>
            <w:tcW w:w="227"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non-current liabilities</w:t>
            </w:r>
          </w:p>
        </w:tc>
        <w:tc>
          <w:tcPr>
            <w:tcW w:w="14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17,129 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16,708 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liabilities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19,665 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19,198 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16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2"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r>
      <w:tr>
        <w:trPr/>
        <w:tc>
          <w:tcPr>
            <w:tcW w:w="6752"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r>
      <w:tr>
        <w:trPr/>
        <w:tc>
          <w:tcPr>
            <w:tcW w:w="6752"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r>
      <w:tr>
        <w:trPr/>
        <w:tc>
          <w:tcPr>
            <w:tcW w:w="6752"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r>
      <w:tr>
        <w:trPr/>
        <w:tc>
          <w:tcPr>
            <w:tcW w:w="6752"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r>
      <w:tr>
        <w:trPr/>
        <w:tc>
          <w:tcPr>
            <w:tcW w:w="6752"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r>
      <w:tr>
        <w:trPr/>
        <w:tc>
          <w:tcPr>
            <w:tcW w:w="6752"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r>
      <w:tr>
        <w:trPr/>
        <w:tc>
          <w:tcPr>
            <w:tcW w:w="6752"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r>
      <w:tr>
        <w:trPr/>
        <w:tc>
          <w:tcPr>
            <w:tcW w:w="6752"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r>
      <w:tr>
        <w:trPr/>
        <w:tc>
          <w:tcPr>
            <w:tcW w:w="6752"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r>
      <w:tr>
        <w:trPr/>
        <w:tc>
          <w:tcPr>
            <w:tcW w:w="6752"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r>
      <w:tr>
        <w:trPr/>
        <w:tc>
          <w:tcPr>
            <w:tcW w:w="6752"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0"/>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6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Class A common stock, par value $0.0001 per share; 50,000 shares authorized; 846 and 812 shares issued and outstanding as of March 28, 2026 and December 31, 2025, respectively</w:t>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Class B common stock, par value $0.0001 per share; 50,000 shares authorized; 468 and 502 shares issued and outstanding as of March 28, 2026 and December 31, 2025, respectively</w:t>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par value $0.0001; 5,000 shares authorized; no shares issued and outstanding</w:t>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11,132 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10,717 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Retained earnings (accumulated deficit)</w:t>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2"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0"/>
              <w:jc w:val="left"/>
              <w:rPr>
                <w:rFonts w:ascii="Times New Roman;serif" w:hAnsi="Times New Roman;serif"/>
                <w:b w:val="false"/>
                <w:color w:val="000000"/>
                <w:sz w:val="18"/>
              </w:rPr>
            </w:pPr>
            <w:r>
              <w:rPr>
                <w:rFonts w:ascii="Times New Roman;serif" w:hAnsi="Times New Roman;serif"/>
                <w:b w:val="false"/>
                <w:color w:val="000000"/>
                <w:sz w:val="18"/>
              </w:rPr>
              <w:t>Total Medline Inc. stockholders’ equity</w:t>
            </w:r>
          </w:p>
        </w:tc>
        <w:tc>
          <w:tcPr>
            <w:tcW w:w="14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11,272 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10,737 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8,077 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8,549 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0"/>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4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19,349 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19,286 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0"/>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39,014 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38,484 </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916305"/>
                <wp:effectExtent l="0" t="0" r="0" b="0"/>
                <wp:wrapNone/>
                <wp:docPr id="7" name="Frame7"/>
                <a:graphic xmlns:a="http://schemas.openxmlformats.org/drawingml/2006/main">
                  <a:graphicData uri="http://schemas.microsoft.com/office/word/2010/wordprocessingShape">
                    <wps:wsp>
                      <wps:cNvSpPr txBox="1"/>
                      <wps:spPr>
                        <a:xfrm>
                          <a:off x="0" y="0"/>
                          <a:ext cx="6480175" cy="916305"/>
                        </a:xfrm>
                        <a:prstGeom prst="rect"/>
                        <a:solidFill>
                          <a:srgbClr val="FFFFFF"/>
                        </a:solidFill>
                      </wps:spPr>
                      <wps:txbx>
                        <w:txbxContent>
                          <w:tbl>
                            <w:tblPr>
                              <w:tblW w:w="4949" w:type="dxa"/>
                              <w:jc w:val="center"/>
                              <w:tblInd w:w="0" w:type="dxa"/>
                              <w:tblLayout w:type="fixed"/>
                              <w:tblCellMar>
                                <w:top w:w="28" w:type="dxa"/>
                                <w:left w:w="28" w:type="dxa"/>
                                <w:bottom w:w="28" w:type="dxa"/>
                                <w:right w:w="28" w:type="dxa"/>
                              </w:tblCellMar>
                            </w:tblPr>
                            <w:tblGrid>
                              <w:gridCol w:w="1582"/>
                              <w:gridCol w:w="1394"/>
                              <w:gridCol w:w="1973"/>
                            </w:tblGrid>
                            <w:tr>
                              <w:trPr/>
                              <w:tc>
                                <w:tcPr>
                                  <w:tcW w:w="1582"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notes to unaudited condensed consolidated financial statements.</w:t>
                                  </w:r>
                                </w:p>
                              </w:tc>
                            </w:tr>
                            <w:tr>
                              <w:trPr/>
                              <w:tc>
                                <w:tcPr>
                                  <w:tcW w:w="4949"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2"/>
                                    </w:rPr>
                                  </w:pPr>
                                  <w:r>
                                    <w:rPr>
                                      <w:rFonts w:ascii="Times New Roman;serif" w:hAnsi="Times New Roman;serif"/>
                                      <w:b w:val="false"/>
                                      <w:color w:val="000000"/>
                                      <w:sz w:val="12"/>
                                    </w:rPr>
                                    <w:t>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15pt;mso-wrap-distance-left:0pt;mso-wrap-distance-right:0pt;mso-wrap-distance-top:0pt;mso-wrap-distance-bottom:0pt;margin-top:0pt;mso-position-vertical:top;mso-position-vertical-relative:text;margin-left:0pt;mso-position-horizontal:left;mso-position-horizontal-relative:text">
                <v:textbox>
                  <w:txbxContent>
                    <w:tbl>
                      <w:tblPr>
                        <w:tblW w:w="4949" w:type="dxa"/>
                        <w:jc w:val="center"/>
                        <w:tblInd w:w="0" w:type="dxa"/>
                        <w:tblLayout w:type="fixed"/>
                        <w:tblCellMar>
                          <w:top w:w="28" w:type="dxa"/>
                          <w:left w:w="28" w:type="dxa"/>
                          <w:bottom w:w="28" w:type="dxa"/>
                          <w:right w:w="28" w:type="dxa"/>
                        </w:tblCellMar>
                      </w:tblPr>
                      <w:tblGrid>
                        <w:gridCol w:w="1582"/>
                        <w:gridCol w:w="1394"/>
                        <w:gridCol w:w="1973"/>
                      </w:tblGrid>
                      <w:tr>
                        <w:trPr/>
                        <w:tc>
                          <w:tcPr>
                            <w:tcW w:w="1582"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notes to unaudited condensed consolidated financial statements.</w:t>
                            </w:r>
                          </w:p>
                        </w:tc>
                      </w:tr>
                      <w:tr>
                        <w:trPr/>
                        <w:tc>
                          <w:tcPr>
                            <w:tcW w:w="4949"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2"/>
                              </w:rPr>
                            </w:pPr>
                            <w:r>
                              <w:rPr>
                                <w:rFonts w:ascii="Times New Roman;serif" w:hAnsi="Times New Roman;serif"/>
                                <w:b w:val="false"/>
                                <w:color w:val="000000"/>
                                <w:sz w:val="12"/>
                              </w:rPr>
                              <w:t>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tbl>
      <w:tblPr>
        <w:tblW w:w="1454" w:type="dxa"/>
        <w:jc w:val="center"/>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(Unaudited)</w:t>
      </w:r>
    </w:p>
    <w:tbl>
      <w:tblPr>
        <w:tblW w:w="8739" w:type="dxa"/>
        <w:jc w:val="left"/>
        <w:tblInd w:w="0" w:type="dxa"/>
        <w:tblLayout w:type="fixed"/>
        <w:tblCellMar>
          <w:top w:w="28" w:type="dxa"/>
          <w:left w:w="28" w:type="dxa"/>
          <w:bottom w:w="28" w:type="dxa"/>
          <w:right w:w="28" w:type="dxa"/>
        </w:tblCellMar>
      </w:tblPr>
      <w:tblGrid>
        <w:gridCol w:w="1854"/>
        <w:gridCol w:w="1631"/>
        <w:gridCol w:w="1645"/>
        <w:gridCol w:w="109"/>
        <w:gridCol w:w="109"/>
        <w:gridCol w:w="156"/>
        <w:gridCol w:w="156"/>
        <w:gridCol w:w="283"/>
        <w:gridCol w:w="805"/>
        <w:gridCol w:w="157"/>
        <w:gridCol w:w="109"/>
        <w:gridCol w:w="109"/>
        <w:gridCol w:w="109"/>
        <w:gridCol w:w="283"/>
        <w:gridCol w:w="804"/>
        <w:gridCol w:w="157"/>
        <w:gridCol w:w="109"/>
        <w:gridCol w:w="154"/>
      </w:tblGrid>
      <w:tr>
        <w:trPr/>
        <w:tc>
          <w:tcPr>
            <w:tcW w:w="1854"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7" w:type="dxa"/>
            <w:gridSpan w:val="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1834" w:type="dxa"/>
            <w:gridSpan w:val="8"/>
            <w:tcBorders/>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0"/>
              <w:ind w:left="0" w:right="0" w:hanging="0"/>
              <w:jc w:val="left"/>
              <w:rPr>
                <w:rFonts w:ascii="Times New Roman;serif" w:hAnsi="Times New Roman;serif"/>
                <w:b w:val="false"/>
                <w:i/>
                <w:color w:val="000000"/>
                <w:sz w:val="18"/>
              </w:rPr>
            </w:pPr>
            <w:r>
              <w:rPr>
                <w:rFonts w:ascii="Times New Roman;serif" w:hAnsi="Times New Roman;serif"/>
                <w:b w:val="false"/>
                <w:i/>
                <w:color w:val="000000"/>
                <w:sz w:val="18"/>
              </w:rPr>
              <w:t>(in millions, except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March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March 29,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7,352 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6,644 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5,511 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4,820 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gain (loss),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Net income attributable to Medline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Earnings per share attributable to Medline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Diluted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Weighted-average number of Class A common stock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loss on derivative instruments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other comprehensive loss, net of tax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Total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Comprehensive income attributable to Medline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318 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916305"/>
                <wp:effectExtent l="0" t="0" r="0" b="0"/>
                <wp:wrapNone/>
                <wp:docPr id="8" name="Frame8"/>
                <a:graphic xmlns:a="http://schemas.openxmlformats.org/drawingml/2006/main">
                  <a:graphicData uri="http://schemas.microsoft.com/office/word/2010/wordprocessingShape">
                    <wps:wsp>
                      <wps:cNvSpPr txBox="1"/>
                      <wps:spPr>
                        <a:xfrm>
                          <a:off x="0" y="0"/>
                          <a:ext cx="6480175" cy="916305"/>
                        </a:xfrm>
                        <a:prstGeom prst="rect"/>
                        <a:solidFill>
                          <a:srgbClr val="FFFFFF"/>
                        </a:solidFill>
                      </wps:spPr>
                      <wps:txbx>
                        <w:txbxContent>
                          <w:tbl>
                            <w:tblPr>
                              <w:tblW w:w="4949" w:type="dxa"/>
                              <w:jc w:val="center"/>
                              <w:tblInd w:w="0" w:type="dxa"/>
                              <w:tblLayout w:type="fixed"/>
                              <w:tblCellMar>
                                <w:top w:w="28" w:type="dxa"/>
                                <w:left w:w="28" w:type="dxa"/>
                                <w:bottom w:w="28" w:type="dxa"/>
                                <w:right w:w="28" w:type="dxa"/>
                              </w:tblCellMar>
                            </w:tblPr>
                            <w:tblGrid>
                              <w:gridCol w:w="1582"/>
                              <w:gridCol w:w="1394"/>
                              <w:gridCol w:w="1973"/>
                            </w:tblGrid>
                            <w:tr>
                              <w:trPr/>
                              <w:tc>
                                <w:tcPr>
                                  <w:tcW w:w="1582"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notes to unaudited condensed consolidated financial statements.</w:t>
                                  </w:r>
                                </w:p>
                              </w:tc>
                            </w:tr>
                            <w:tr>
                              <w:trPr/>
                              <w:tc>
                                <w:tcPr>
                                  <w:tcW w:w="4949"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2"/>
                                    </w:rPr>
                                  </w:pPr>
                                  <w:r>
                                    <w:rPr>
                                      <w:rFonts w:ascii="Times New Roman;serif" w:hAnsi="Times New Roman;serif"/>
                                      <w:b w:val="false"/>
                                      <w:color w:val="000000"/>
                                      <w:sz w:val="12"/>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15pt;mso-wrap-distance-left:0pt;mso-wrap-distance-right:0pt;mso-wrap-distance-top:0pt;mso-wrap-distance-bottom:0pt;margin-top:0pt;mso-position-vertical:top;mso-position-vertical-relative:text;margin-left:0pt;mso-position-horizontal:left;mso-position-horizontal-relative:text">
                <v:textbox>
                  <w:txbxContent>
                    <w:tbl>
                      <w:tblPr>
                        <w:tblW w:w="4949" w:type="dxa"/>
                        <w:jc w:val="center"/>
                        <w:tblInd w:w="0" w:type="dxa"/>
                        <w:tblLayout w:type="fixed"/>
                        <w:tblCellMar>
                          <w:top w:w="28" w:type="dxa"/>
                          <w:left w:w="28" w:type="dxa"/>
                          <w:bottom w:w="28" w:type="dxa"/>
                          <w:right w:w="28" w:type="dxa"/>
                        </w:tblCellMar>
                      </w:tblPr>
                      <w:tblGrid>
                        <w:gridCol w:w="1582"/>
                        <w:gridCol w:w="1394"/>
                        <w:gridCol w:w="1973"/>
                      </w:tblGrid>
                      <w:tr>
                        <w:trPr/>
                        <w:tc>
                          <w:tcPr>
                            <w:tcW w:w="1582"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notes to unaudited condensed consolidated financial statements.</w:t>
                            </w:r>
                          </w:p>
                        </w:tc>
                      </w:tr>
                      <w:tr>
                        <w:trPr/>
                        <w:tc>
                          <w:tcPr>
                            <w:tcW w:w="4949"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2"/>
                              </w:rPr>
                            </w:pPr>
                            <w:r>
                              <w:rPr>
                                <w:rFonts w:ascii="Times New Roman;serif" w:hAnsi="Times New Roman;serif"/>
                                <w:b w:val="false"/>
                                <w:color w:val="000000"/>
                                <w:sz w:val="12"/>
                              </w:rPr>
                              <w:t>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tbl>
      <w:tblPr>
        <w:tblW w:w="1800" w:type="dxa"/>
        <w:jc w:val="left"/>
        <w:tblInd w:w="0" w:type="dxa"/>
        <w:tblLayout w:type="fixed"/>
        <w:tblCellMar>
          <w:top w:w="28" w:type="dxa"/>
          <w:left w:w="28" w:type="dxa"/>
          <w:bottom w:w="28" w:type="dxa"/>
          <w:right w:w="28" w:type="dxa"/>
        </w:tblCellMar>
      </w:tblPr>
      <w:tblGrid>
        <w:gridCol w:w="577"/>
        <w:gridCol w:w="507"/>
        <w:gridCol w:w="716"/>
      </w:tblGrid>
      <w:tr>
        <w:trPr/>
        <w:tc>
          <w:tcPr>
            <w:tcW w:w="57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center"/>
              <w:rPr/>
            </w:pPr>
            <w:r>
              <w:rPr/>
              <w:t>MEDLINE INC.</w:t>
            </w:r>
          </w:p>
        </w:tc>
      </w:tr>
      <w:tr>
        <w:trPr/>
        <w:tc>
          <w:tcPr>
            <w:tcW w:w="180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 MEZZANINE EQUITY AND PARTNERS' CAPITAL (Unaudited)</w:t>
      </w:r>
    </w:p>
    <w:tbl>
      <w:tblPr>
        <w:tblW w:w="10205" w:type="dxa"/>
        <w:jc w:val="center"/>
        <w:tblInd w:w="0" w:type="dxa"/>
        <w:tblLayout w:type="fixed"/>
        <w:tblCellMar>
          <w:top w:w="28" w:type="dxa"/>
          <w:left w:w="28" w:type="dxa"/>
          <w:bottom w:w="28" w:type="dxa"/>
          <w:right w:w="28" w:type="dxa"/>
        </w:tblCellMar>
      </w:tblPr>
      <w:tblGrid>
        <w:gridCol w:w="891"/>
        <w:gridCol w:w="356"/>
        <w:gridCol w:w="293"/>
        <w:gridCol w:w="210"/>
        <w:gridCol w:w="211"/>
        <w:gridCol w:w="186"/>
        <w:gridCol w:w="205"/>
        <w:gridCol w:w="425"/>
        <w:gridCol w:w="114"/>
        <w:gridCol w:w="210"/>
        <w:gridCol w:w="211"/>
        <w:gridCol w:w="186"/>
        <w:gridCol w:w="205"/>
        <w:gridCol w:w="425"/>
        <w:gridCol w:w="114"/>
        <w:gridCol w:w="210"/>
        <w:gridCol w:w="693"/>
        <w:gridCol w:w="117"/>
        <w:gridCol w:w="327"/>
        <w:gridCol w:w="704"/>
        <w:gridCol w:w="184"/>
        <w:gridCol w:w="408"/>
        <w:gridCol w:w="690"/>
        <w:gridCol w:w="228"/>
        <w:gridCol w:w="276"/>
        <w:gridCol w:w="784"/>
        <w:gridCol w:w="154"/>
        <w:gridCol w:w="230"/>
        <w:gridCol w:w="762"/>
        <w:gridCol w:w="196"/>
      </w:tblGrid>
      <w:tr>
        <w:trPr/>
        <w:tc>
          <w:tcPr>
            <w:tcW w:w="89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5" w:type="dxa"/>
            <w:gridSpan w:val="27"/>
            <w:tcBorders/>
            <w:tcMar>
              <w:top w:w="0" w:type="dxa"/>
              <w:left w:w="0" w:type="dxa"/>
              <w:bottom w:w="0" w:type="dxa"/>
              <w:right w:w="0" w:type="dxa"/>
            </w:tcMar>
            <w:vAlign w:val="center"/>
          </w:tcPr>
          <w:p>
            <w:pPr>
              <w:pStyle w:val="TableContents"/>
              <w:bidi w:val="0"/>
              <w:spacing w:lineRule="auto" w:line="288" w:before="0" w:after="283"/>
              <w:ind w:left="0" w:right="0" w:hanging="0"/>
              <w:jc w:val="center"/>
              <w:rPr>
                <w:rFonts w:ascii="Times New Roman;serif" w:hAnsi="Times New Roman;serif"/>
                <w:b w:val="false"/>
                <w:color w:val="000000"/>
                <w:sz w:val="16"/>
              </w:rPr>
            </w:pPr>
            <w:r>
              <w:rPr>
                <w:rFonts w:ascii="Times New Roman;serif" w:hAnsi="Times New Roman;serif"/>
                <w:b w:val="false"/>
                <w:color w:val="000000"/>
                <w:sz w:val="16"/>
              </w:rPr>
              <w:t>Three Months Ended March 28, 2026</w:t>
            </w:r>
          </w:p>
        </w:tc>
      </w:tr>
      <w:tr>
        <w:trPr/>
        <w:tc>
          <w:tcPr>
            <w:tcW w:w="1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w:t>
            </w:r>
          </w:p>
        </w:tc>
        <w:tc>
          <w:tcPr>
            <w:tcW w:w="135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B Common Stock</w:t>
            </w:r>
          </w:p>
        </w:tc>
        <w:tc>
          <w:tcPr>
            <w:tcW w:w="102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21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Retained Earnings (Accumulated Deficit)</w:t>
            </w:r>
          </w:p>
        </w:tc>
        <w:tc>
          <w:tcPr>
            <w:tcW w:w="13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Other Comprehensive Income</w:t>
            </w:r>
          </w:p>
        </w:tc>
        <w:tc>
          <w:tcPr>
            <w:tcW w:w="121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118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0"/>
              <w:jc w:val="center"/>
              <w:rPr>
                <w:rFonts w:ascii="Times New Roman;serif" w:hAnsi="Times New Roman;serif"/>
                <w:b w:val="false"/>
                <w:color w:val="000000"/>
                <w:sz w:val="16"/>
              </w:rPr>
            </w:pPr>
            <w:r>
              <w:rPr>
                <w:rFonts w:ascii="Times New Roman;serif" w:hAnsi="Times New Roman;serif"/>
                <w:b w:val="false"/>
                <w:color w:val="000000"/>
                <w:sz w:val="16"/>
              </w:rPr>
              <w:t>Total Stockholders’ Equity</w:t>
            </w:r>
          </w:p>
        </w:tc>
      </w:tr>
      <w:tr>
        <w:trPr/>
        <w:tc>
          <w:tcPr>
            <w:tcW w:w="1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6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6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102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21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3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21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18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January 1, 2026</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10,717 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19,286 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6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interests</w:t>
            </w:r>
          </w:p>
        </w:tc>
        <w:tc>
          <w:tcPr>
            <w:tcW w:w="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Exchange of common units for Class A common stock</w:t>
            </w:r>
          </w:p>
        </w:tc>
        <w:tc>
          <w:tcPr>
            <w:tcW w:w="6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Tax receivable agreement</w:t>
            </w:r>
          </w:p>
        </w:tc>
        <w:tc>
          <w:tcPr>
            <w:tcW w:w="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Recognition of deferred tax assets from equity transactions</w:t>
            </w:r>
          </w:p>
        </w:tc>
        <w:tc>
          <w:tcPr>
            <w:tcW w:w="6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Reclassification from liability-classified units</w:t>
            </w:r>
          </w:p>
        </w:tc>
        <w:tc>
          <w:tcPr>
            <w:tcW w:w="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6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noncontrolling interests</w:t>
            </w:r>
          </w:p>
        </w:tc>
        <w:tc>
          <w:tcPr>
            <w:tcW w:w="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March 28, 2026</w:t>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846 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468 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11,132 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19,349 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10675" w:type="dxa"/>
        <w:jc w:val="center"/>
        <w:tblInd w:w="0" w:type="dxa"/>
        <w:tblLayout w:type="fixed"/>
        <w:tblCellMar>
          <w:top w:w="28" w:type="dxa"/>
          <w:left w:w="28" w:type="dxa"/>
          <w:bottom w:w="28" w:type="dxa"/>
          <w:right w:w="28" w:type="dxa"/>
        </w:tblCellMar>
      </w:tblPr>
      <w:tblGrid>
        <w:gridCol w:w="689"/>
        <w:gridCol w:w="435"/>
        <w:gridCol w:w="212"/>
        <w:gridCol w:w="155"/>
        <w:gridCol w:w="155"/>
        <w:gridCol w:w="156"/>
        <w:gridCol w:w="196"/>
        <w:gridCol w:w="421"/>
        <w:gridCol w:w="109"/>
        <w:gridCol w:w="204"/>
        <w:gridCol w:w="149"/>
        <w:gridCol w:w="113"/>
        <w:gridCol w:w="204"/>
        <w:gridCol w:w="438"/>
        <w:gridCol w:w="115"/>
        <w:gridCol w:w="231"/>
        <w:gridCol w:w="496"/>
        <w:gridCol w:w="129"/>
        <w:gridCol w:w="199"/>
        <w:gridCol w:w="199"/>
        <w:gridCol w:w="203"/>
        <w:gridCol w:w="196"/>
        <w:gridCol w:w="646"/>
        <w:gridCol w:w="109"/>
        <w:gridCol w:w="155"/>
        <w:gridCol w:w="155"/>
        <w:gridCol w:w="156"/>
        <w:gridCol w:w="196"/>
        <w:gridCol w:w="421"/>
        <w:gridCol w:w="109"/>
        <w:gridCol w:w="155"/>
        <w:gridCol w:w="155"/>
        <w:gridCol w:w="156"/>
        <w:gridCol w:w="208"/>
        <w:gridCol w:w="351"/>
        <w:gridCol w:w="117"/>
        <w:gridCol w:w="365"/>
        <w:gridCol w:w="617"/>
        <w:gridCol w:w="204"/>
        <w:gridCol w:w="196"/>
        <w:gridCol w:w="646"/>
        <w:gridCol w:w="154"/>
      </w:tblGrid>
      <w:tr>
        <w:trPr/>
        <w:tc>
          <w:tcPr>
            <w:tcW w:w="68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9" w:type="dxa"/>
            <w:gridSpan w:val="3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March 29, 2025</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Mezzanine Equity</w:t>
            </w:r>
          </w:p>
        </w:tc>
        <w:tc>
          <w:tcPr>
            <w:tcW w:w="6068" w:type="dxa"/>
            <w:gridSpan w:val="24"/>
            <w:tcBorders>
              <w:top w:val="single" w:sz="8" w:space="0" w:color="000000"/>
              <w:left w:val="single" w:sz="16"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Partners’ Capital</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w:t>
            </w:r>
          </w:p>
        </w:tc>
        <w:tc>
          <w:tcPr>
            <w:tcW w:w="122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8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Total Mezzanine Equity</w:t>
            </w:r>
          </w:p>
        </w:tc>
        <w:tc>
          <w:tcPr>
            <w:tcW w:w="1552" w:type="dxa"/>
            <w:gridSpan w:val="6"/>
            <w:tcBorders>
              <w:top w:val="single" w:sz="8" w:space="0" w:color="000000"/>
              <w:left w:val="single" w:sz="16"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w:t>
            </w:r>
          </w:p>
        </w:tc>
        <w:tc>
          <w:tcPr>
            <w:tcW w:w="119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B</w:t>
            </w:r>
          </w:p>
        </w:tc>
        <w:tc>
          <w:tcPr>
            <w:tcW w:w="114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B CUPI</w:t>
            </w:r>
          </w:p>
        </w:tc>
        <w:tc>
          <w:tcPr>
            <w:tcW w:w="11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Other Comprehensive Income</w:t>
            </w:r>
          </w:p>
        </w:tc>
        <w:tc>
          <w:tcPr>
            <w:tcW w:w="9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0"/>
              <w:jc w:val="center"/>
              <w:rPr>
                <w:rFonts w:ascii="Times New Roman;serif" w:hAnsi="Times New Roman;serif"/>
                <w:b w:val="false"/>
                <w:color w:val="000000"/>
                <w:sz w:val="16"/>
              </w:rPr>
            </w:pPr>
            <w:r>
              <w:rPr>
                <w:rFonts w:ascii="Times New Roman;serif" w:hAnsi="Times New Roman;serif"/>
                <w:b w:val="false"/>
                <w:color w:val="000000"/>
                <w:sz w:val="16"/>
              </w:rPr>
              <w:t>Total Partners' Capital</w:t>
            </w:r>
          </w:p>
        </w:tc>
      </w:tr>
      <w:tr>
        <w:trPr/>
        <w:tc>
          <w:tcPr>
            <w:tcW w:w="13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Units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Units</w:t>
            </w:r>
          </w:p>
        </w:tc>
        <w:tc>
          <w:tcPr>
            <w:tcW w:w="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8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601" w:type="dxa"/>
            <w:gridSpan w:val="3"/>
            <w:tcBorders>
              <w:top w:val="single" w:sz="8" w:space="0" w:color="000000"/>
              <w:left w:val="single" w:sz="16"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Units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Units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Units</w:t>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11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9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January 1, 2025</w:t>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left w:val="single" w:sz="16" w:space="0" w:color="000000"/>
            </w:tcBorders>
            <w:shd w:fill="CCEEFF" w:val="clear"/>
            <w:tcMar>
              <w:top w:w="3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16,723</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15,976 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16,158 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601" w:type="dxa"/>
            <w:gridSpan w:val="3"/>
            <w:tcBorders>
              <w:left w:val="single" w:sz="16"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318</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319</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01" w:type="dxa"/>
            <w:gridSpan w:val="3"/>
            <w:tcBorders>
              <w:left w:val="single" w:sz="16"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Reclassification from liability-classified units</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01" w:type="dxa"/>
            <w:gridSpan w:val="3"/>
            <w:tcBorders>
              <w:left w:val="single" w:sz="16"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Units repurchased</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601" w:type="dxa"/>
            <w:gridSpan w:val="3"/>
            <w:tcBorders>
              <w:left w:val="single" w:sz="16"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01" w:type="dxa"/>
            <w:gridSpan w:val="3"/>
            <w:tcBorders>
              <w:left w:val="single" w:sz="16"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March 29, 2025</w:t>
            </w:r>
          </w:p>
        </w:tc>
        <w:tc>
          <w:tcPr>
            <w:tcW w:w="46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368 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left w:val="single" w:sz="16" w:space="0" w:color="000000"/>
              <w:bottom w:val="double" w:sz="8" w:space="0" w:color="000000"/>
            </w:tcBorders>
            <w:shd w:fill="CCEEFF" w:val="clear"/>
            <w:tcMar>
              <w:top w:w="3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16,723</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16,294 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764</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16,490 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916305"/>
                <wp:effectExtent l="0" t="0" r="0" b="0"/>
                <wp:wrapNone/>
                <wp:docPr id="9" name="Frame9"/>
                <a:graphic xmlns:a="http://schemas.openxmlformats.org/drawingml/2006/main">
                  <a:graphicData uri="http://schemas.microsoft.com/office/word/2010/wordprocessingShape">
                    <wps:wsp>
                      <wps:cNvSpPr txBox="1"/>
                      <wps:spPr>
                        <a:xfrm>
                          <a:off x="0" y="0"/>
                          <a:ext cx="6480175" cy="916305"/>
                        </a:xfrm>
                        <a:prstGeom prst="rect"/>
                        <a:solidFill>
                          <a:srgbClr val="FFFFFF"/>
                        </a:solidFill>
                      </wps:spPr>
                      <wps:txbx>
                        <w:txbxContent>
                          <w:tbl>
                            <w:tblPr>
                              <w:tblW w:w="4949" w:type="dxa"/>
                              <w:jc w:val="left"/>
                              <w:tblInd w:w="0" w:type="dxa"/>
                              <w:tblLayout w:type="fixed"/>
                              <w:tblCellMar>
                                <w:top w:w="28" w:type="dxa"/>
                                <w:left w:w="28" w:type="dxa"/>
                                <w:bottom w:w="28" w:type="dxa"/>
                                <w:right w:w="28" w:type="dxa"/>
                              </w:tblCellMar>
                            </w:tblPr>
                            <w:tblGrid>
                              <w:gridCol w:w="1582"/>
                              <w:gridCol w:w="1394"/>
                              <w:gridCol w:w="1973"/>
                            </w:tblGrid>
                            <w:tr>
                              <w:trPr/>
                              <w:tc>
                                <w:tcPr>
                                  <w:tcW w:w="1582"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notes to unaudited condensed consolidated financial statements.</w:t>
                                  </w:r>
                                </w:p>
                              </w:tc>
                            </w:tr>
                            <w:tr>
                              <w:trPr/>
                              <w:tc>
                                <w:tcPr>
                                  <w:tcW w:w="4949"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2"/>
                                    </w:rPr>
                                  </w:pPr>
                                  <w:r>
                                    <w:rPr>
                                      <w:rFonts w:ascii="Times New Roman;serif" w:hAnsi="Times New Roman;serif"/>
                                      <w:b w:val="false"/>
                                      <w:color w:val="000000"/>
                                      <w:sz w:val="12"/>
                                    </w:rPr>
                                    <w:t>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15pt;mso-wrap-distance-left:0pt;mso-wrap-distance-right:0pt;mso-wrap-distance-top:0pt;mso-wrap-distance-bottom:0pt;margin-top:0pt;mso-position-vertical:top;mso-position-vertical-relative:text;margin-left:0pt;mso-position-horizontal:left;mso-position-horizontal-relative:text">
                <v:textbox>
                  <w:txbxContent>
                    <w:tbl>
                      <w:tblPr>
                        <w:tblW w:w="4949" w:type="dxa"/>
                        <w:jc w:val="left"/>
                        <w:tblInd w:w="0" w:type="dxa"/>
                        <w:tblLayout w:type="fixed"/>
                        <w:tblCellMar>
                          <w:top w:w="28" w:type="dxa"/>
                          <w:left w:w="28" w:type="dxa"/>
                          <w:bottom w:w="28" w:type="dxa"/>
                          <w:right w:w="28" w:type="dxa"/>
                        </w:tblCellMar>
                      </w:tblPr>
                      <w:tblGrid>
                        <w:gridCol w:w="1582"/>
                        <w:gridCol w:w="1394"/>
                        <w:gridCol w:w="1973"/>
                      </w:tblGrid>
                      <w:tr>
                        <w:trPr/>
                        <w:tc>
                          <w:tcPr>
                            <w:tcW w:w="1582"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notes to unaudited condensed consolidated financial statements.</w:t>
                            </w:r>
                          </w:p>
                        </w:tc>
                      </w:tr>
                      <w:tr>
                        <w:trPr/>
                        <w:tc>
                          <w:tcPr>
                            <w:tcW w:w="4949"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2"/>
                              </w:rPr>
                            </w:pPr>
                            <w:r>
                              <w:rPr>
                                <w:rFonts w:ascii="Times New Roman;serif" w:hAnsi="Times New Roman;serif"/>
                                <w:b w:val="false"/>
                                <w:color w:val="000000"/>
                                <w:sz w:val="12"/>
                              </w:rPr>
                              <w:t>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200" w:after="283"/>
        <w:ind w:left="0" w:right="0" w:firstLine="72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STATEMENTS OF CASH FLOWS (Unaudited)</w:t>
      </w:r>
    </w:p>
    <w:p>
      <w:pPr>
        <w:pStyle w:val="TextBody"/>
        <w:bidi w:val="0"/>
        <w:spacing w:before="0" w:after="0"/>
        <w:jc w:val="center"/>
        <w:rPr/>
      </w:pPr>
      <w:r>
        <w:rPr/>
      </w:r>
    </w:p>
    <w:tbl>
      <w:tblPr>
        <w:tblW w:w="8868" w:type="dxa"/>
        <w:jc w:val="center"/>
        <w:tblInd w:w="0" w:type="dxa"/>
        <w:tblLayout w:type="fixed"/>
        <w:tblCellMar>
          <w:top w:w="28" w:type="dxa"/>
          <w:left w:w="28" w:type="dxa"/>
          <w:bottom w:w="28" w:type="dxa"/>
          <w:right w:w="28" w:type="dxa"/>
        </w:tblCellMar>
      </w:tblPr>
      <w:tblGrid>
        <w:gridCol w:w="2095"/>
        <w:gridCol w:w="1844"/>
        <w:gridCol w:w="1850"/>
        <w:gridCol w:w="283"/>
        <w:gridCol w:w="804"/>
        <w:gridCol w:w="157"/>
        <w:gridCol w:w="109"/>
        <w:gridCol w:w="109"/>
        <w:gridCol w:w="109"/>
        <w:gridCol w:w="336"/>
        <w:gridCol w:w="722"/>
        <w:gridCol w:w="187"/>
        <w:gridCol w:w="109"/>
        <w:gridCol w:w="154"/>
      </w:tblGrid>
      <w:tr>
        <w:trPr/>
        <w:tc>
          <w:tcPr>
            <w:tcW w:w="2095"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March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March 29,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financing costs</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taxes</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Credit losses</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foreign exchange (gain) loss, net</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non-cash adjustments</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 net of acquisitions:</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Trade accounts receivable</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682 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 net</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 of businesses, net of cash acquired</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 for offering costs</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under lines of credit</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lines of credit</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 towards Class B unit repurchases</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 and restricted cash</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change in cash and cash equivalents and restricted cash</w:t>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590 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beginning of year</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end of period</w:t>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2,238 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840 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6226" w:type="dxa"/>
        <w:jc w:val="center"/>
        <w:tblInd w:w="0" w:type="dxa"/>
        <w:tblLayout w:type="fixed"/>
        <w:tblCellMar>
          <w:top w:w="28" w:type="dxa"/>
          <w:left w:w="28" w:type="dxa"/>
          <w:bottom w:w="28" w:type="dxa"/>
          <w:right w:w="28" w:type="dxa"/>
        </w:tblCellMar>
      </w:tblPr>
      <w:tblGrid>
        <w:gridCol w:w="1550"/>
        <w:gridCol w:w="1358"/>
        <w:gridCol w:w="1366"/>
        <w:gridCol w:w="196"/>
        <w:gridCol w:w="331"/>
        <w:gridCol w:w="109"/>
        <w:gridCol w:w="109"/>
        <w:gridCol w:w="109"/>
        <w:gridCol w:w="109"/>
        <w:gridCol w:w="196"/>
        <w:gridCol w:w="421"/>
        <w:gridCol w:w="109"/>
        <w:gridCol w:w="109"/>
        <w:gridCol w:w="154"/>
      </w:tblGrid>
      <w:tr>
        <w:trPr/>
        <w:tc>
          <w:tcPr>
            <w:tcW w:w="1550"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Supplemental disclosure of cash flow information:</w:t>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payments for interest on borrowings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received from interest rate hedging activities</w:t>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Recognition of tax receivable agreement liability</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Recognition of deferred tax assets from equity transactions</w:t>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78"/>
        <w:gridCol w:w="540"/>
        <w:gridCol w:w="540"/>
        <w:gridCol w:w="782"/>
        <w:gridCol w:w="2157"/>
        <w:gridCol w:w="422"/>
        <w:gridCol w:w="422"/>
        <w:gridCol w:w="422"/>
        <w:gridCol w:w="422"/>
        <w:gridCol w:w="760"/>
        <w:gridCol w:w="2157"/>
        <w:gridCol w:w="603"/>
      </w:tblGrid>
      <w:tr>
        <w:trPr/>
        <w:tc>
          <w:tcPr>
            <w:tcW w:w="97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reconciliation of cash, cash equivalents and restricted cash shown above to the amounts reported within the Condensed Consolidated Balance Sheets as of March 28, 2026 and December 31, 2025:</w:t>
            </w:r>
          </w:p>
        </w:tc>
      </w:tr>
      <w:tr>
        <w:trPr/>
        <w:tc>
          <w:tcPr>
            <w:tcW w:w="2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8" w:type="dxa"/>
            <w:gridSpan w:val="3"/>
            <w:tcBorders/>
            <w:vAlign w:val="center"/>
          </w:tcPr>
          <w:p>
            <w:pPr>
              <w:pStyle w:val="TableContents"/>
              <w:bidi w:val="0"/>
              <w:spacing w:before="0" w:after="283"/>
              <w:jc w:val="left"/>
              <w:rPr>
                <w:sz w:val="4"/>
                <w:szCs w:val="4"/>
              </w:rPr>
            </w:pPr>
            <w:r>
              <w:rPr>
                <w:sz w:val="4"/>
                <w:szCs w:val="4"/>
              </w:rPr>
            </w:r>
          </w:p>
        </w:tc>
        <w:tc>
          <w:tcPr>
            <w:tcW w:w="3361" w:type="dxa"/>
            <w:gridSpan w:val="3"/>
            <w:tcBorders/>
            <w:vAlign w:val="center"/>
          </w:tcPr>
          <w:p>
            <w:pPr>
              <w:pStyle w:val="TableContents"/>
              <w:bidi w:val="0"/>
              <w:spacing w:before="0" w:after="283"/>
              <w:ind w:left="0" w:right="0" w:hanging="0"/>
              <w:jc w:val="left"/>
              <w:rPr>
                <w:sz w:val="4"/>
                <w:szCs w:val="4"/>
              </w:rPr>
            </w:pPr>
            <w:r>
              <w:rPr>
                <w:sz w:val="4"/>
                <w:szCs w:val="4"/>
              </w:rPr>
            </w:r>
          </w:p>
        </w:tc>
        <w:tc>
          <w:tcPr>
            <w:tcW w:w="4786" w:type="dxa"/>
            <w:gridSpan w:val="6"/>
            <w:tcBorders/>
          </w:tcPr>
          <w:p>
            <w:pPr>
              <w:pStyle w:val="TableContents"/>
              <w:bidi w:val="0"/>
              <w:spacing w:before="0" w:after="283"/>
              <w:jc w:val="left"/>
              <w:rPr>
                <w:sz w:val="4"/>
                <w:szCs w:val="4"/>
              </w:rPr>
            </w:pPr>
            <w:r>
              <w:rPr>
                <w:sz w:val="4"/>
                <w:szCs w:val="4"/>
              </w:rPr>
            </w:r>
          </w:p>
        </w:tc>
      </w:tr>
      <w:tr>
        <w:trPr/>
        <w:tc>
          <w:tcPr>
            <w:tcW w:w="20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33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March 28, 2026 (Unaudited)</w:t>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20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2,236 </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1,939 </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included in other current assets</w:t>
            </w:r>
          </w:p>
        </w:tc>
        <w:tc>
          <w:tcPr>
            <w:tcW w:w="2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2,238 </w:t>
            </w:r>
          </w:p>
        </w:tc>
        <w:tc>
          <w:tcPr>
            <w:tcW w:w="4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1,942 </w:t>
            </w:r>
          </w:p>
        </w:tc>
        <w:tc>
          <w:tcPr>
            <w:tcW w:w="6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916305"/>
                <wp:effectExtent l="0" t="0" r="0" b="0"/>
                <wp:wrapNone/>
                <wp:docPr id="10" name="Frame10"/>
                <a:graphic xmlns:a="http://schemas.openxmlformats.org/drawingml/2006/main">
                  <a:graphicData uri="http://schemas.microsoft.com/office/word/2010/wordprocessingShape">
                    <wps:wsp>
                      <wps:cNvSpPr txBox="1"/>
                      <wps:spPr>
                        <a:xfrm>
                          <a:off x="0" y="0"/>
                          <a:ext cx="6480175" cy="916305"/>
                        </a:xfrm>
                        <a:prstGeom prst="rect"/>
                        <a:solidFill>
                          <a:srgbClr val="FFFFFF"/>
                        </a:solidFill>
                      </wps:spPr>
                      <wps:txbx>
                        <w:txbxContent>
                          <w:tbl>
                            <w:tblPr>
                              <w:tblW w:w="4949" w:type="dxa"/>
                              <w:jc w:val="left"/>
                              <w:tblInd w:w="0" w:type="dxa"/>
                              <w:tblLayout w:type="fixed"/>
                              <w:tblCellMar>
                                <w:top w:w="28" w:type="dxa"/>
                                <w:left w:w="28" w:type="dxa"/>
                                <w:bottom w:w="28" w:type="dxa"/>
                                <w:right w:w="28" w:type="dxa"/>
                              </w:tblCellMar>
                            </w:tblPr>
                            <w:tblGrid>
                              <w:gridCol w:w="1582"/>
                              <w:gridCol w:w="1394"/>
                              <w:gridCol w:w="1973"/>
                            </w:tblGrid>
                            <w:tr>
                              <w:trPr/>
                              <w:tc>
                                <w:tcPr>
                                  <w:tcW w:w="1582"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notes to unaudited condensed consolidated financial statements.</w:t>
                                  </w:r>
                                </w:p>
                              </w:tc>
                            </w:tr>
                            <w:tr>
                              <w:trPr/>
                              <w:tc>
                                <w:tcPr>
                                  <w:tcW w:w="4949"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2"/>
                                    </w:rPr>
                                  </w:pPr>
                                  <w:r>
                                    <w:rPr>
                                      <w:rFonts w:ascii="Times New Roman;serif" w:hAnsi="Times New Roman;serif"/>
                                      <w:b w:val="false"/>
                                      <w:color w:val="000000"/>
                                      <w:sz w:val="12"/>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15pt;mso-wrap-distance-left:0pt;mso-wrap-distance-right:0pt;mso-wrap-distance-top:0pt;mso-wrap-distance-bottom:0pt;margin-top:0pt;mso-position-vertical:top;mso-position-vertical-relative:text;margin-left:0pt;mso-position-horizontal:left;mso-position-horizontal-relative:text">
                <v:textbox>
                  <w:txbxContent>
                    <w:tbl>
                      <w:tblPr>
                        <w:tblW w:w="4949" w:type="dxa"/>
                        <w:jc w:val="left"/>
                        <w:tblInd w:w="0" w:type="dxa"/>
                        <w:tblLayout w:type="fixed"/>
                        <w:tblCellMar>
                          <w:top w:w="28" w:type="dxa"/>
                          <w:left w:w="28" w:type="dxa"/>
                          <w:bottom w:w="28" w:type="dxa"/>
                          <w:right w:w="28" w:type="dxa"/>
                        </w:tblCellMar>
                      </w:tblPr>
                      <w:tblGrid>
                        <w:gridCol w:w="1582"/>
                        <w:gridCol w:w="1394"/>
                        <w:gridCol w:w="1973"/>
                      </w:tblGrid>
                      <w:tr>
                        <w:trPr/>
                        <w:tc>
                          <w:tcPr>
                            <w:tcW w:w="1582"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notes to unaudited condensed consolidated financial statements.</w:t>
                            </w:r>
                          </w:p>
                        </w:tc>
                      </w:tr>
                      <w:tr>
                        <w:trPr/>
                        <w:tc>
                          <w:tcPr>
                            <w:tcW w:w="4949"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2"/>
                              </w:rPr>
                            </w:pPr>
                            <w:r>
                              <w:rPr>
                                <w:rFonts w:ascii="Times New Roman;serif" w:hAnsi="Times New Roman;serif"/>
                                <w:b w:val="false"/>
                                <w:color w:val="000000"/>
                                <w:sz w:val="12"/>
                              </w:rPr>
                              <w:t>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center"/>
        <w:rPr/>
      </w:pPr>
      <w:r>
        <w:rPr/>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1 - NATURE OF BUSINESS AND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Nature of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Medline Inc., a Delaware corporation formed on November 6, 2024, is a holding company, and its material assets are its equity interests held directly or indirectly through wholly owned subsidiaries in Medline Holdings, LP (“Medline Holdings”), and its subsidiaries (together, the “Company” or “Medline”). The Company is a medical-surgical products and supply chain company, serving healthcare providers across the continuum of care. Its customers are primarily composed of hospitals, nursing homes and other health care providers located in the United States of America, Canada, Europe, Asia-Pacific (which includes Southeast Asia, Japan and Australia), Latin America (which includes Mexico), the Middle East and Africa.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Secondary Offering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10, 2026, the Company completed an underwritten public offering of an aggregate of 86,250,000 shares of Class A common stock (including 11,250,000 shares of Class A common stock issued pursuant to the exercise in full of the underwriters’ option to purchase additional shares) sold by a wholly owned subsidiary of Abu Dhabi Investment Authority and certain affiliates of our Sponsors (collectively, the “Selling Stockholders”) at a public offering price of $41.00 per share, for aggregate gross proceeds of approximately $3.5 billion to the Selling Stockholders (the “March 2026 Resale Offering”). This transaction resulted in the issuance of 33,963,901 shares of Class A common stock in connection with the exchange of Common Units by the Selling Stockholders for the three months ended March 28, 2026. The exchange reduced the ownership of noncontrolling interest in Medline Holdings by approximately 3% and is expected to lead to higher net income attributable to the Company. The Company did not sell any shares in this March 2026 Resale Offering and did not receive any of the proceeds from the sale of the shares of Class A common stock in this March 2026 Resale Offering. The Company paid the offering expenses associated with the sale of the shares by the Selling Stockholders, net of the underwriting discounts and commissions.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Initial Public Offering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On December 16, 2025, the SEC declared effective the Company’s Registration Statement on Form S-1 filed in connection with IPO. The Company’s Class A common stock started trading on </w:t>
      </w:r>
      <w:r>
        <w:rPr>
          <w:rFonts w:ascii="Times New Roman;serif" w:hAnsi="Times New Roman;serif"/>
          <w:b w:val="false"/>
          <w:color w:val="181717"/>
          <w:sz w:val="20"/>
        </w:rPr>
        <w:t>The Nasdaq Global Select Market</w:t>
      </w:r>
      <w:r>
        <w:rPr>
          <w:color w:val="000000"/>
        </w:rPr>
        <w:t xml:space="preserve"> </w:t>
      </w:r>
      <w:r>
        <w:rPr>
          <w:rFonts w:ascii="Times New Roman;serif" w:hAnsi="Times New Roman;serif"/>
          <w:b w:val="false"/>
          <w:color w:val="000000"/>
          <w:sz w:val="20"/>
        </w:rPr>
        <w:t xml:space="preserve">on December 17, 2025. </w:t>
      </w:r>
      <w:r>
        <w:rPr>
          <w:rFonts w:ascii="Times New Roman;serif" w:hAnsi="Times New Roman;serif"/>
          <w:b w:val="false"/>
          <w:color w:val="000000"/>
          <w:sz w:val="20"/>
          <w:shd w:fill="FFFFFF" w:val="clear"/>
        </w:rPr>
        <w:t xml:space="preserve">On December 18, 2025, the Company completed the IPO of its Class A common stock in which the Company issued and sold </w:t>
      </w:r>
      <w:r>
        <w:rPr>
          <w:rFonts w:ascii="Times New Roman;serif" w:hAnsi="Times New Roman;serif"/>
          <w:b w:val="false"/>
          <w:color w:val="000000"/>
          <w:sz w:val="20"/>
        </w:rPr>
        <w:t>248,439,654</w:t>
      </w:r>
      <w:r>
        <w:rPr>
          <w:color w:val="000000"/>
          <w:shd w:fill="FFFFFF" w:val="clear"/>
        </w:rPr>
        <w:t xml:space="preserve"> </w:t>
      </w:r>
      <w:r>
        <w:rPr>
          <w:rFonts w:ascii="Times New Roman;serif" w:hAnsi="Times New Roman;serif"/>
          <w:b w:val="false"/>
          <w:color w:val="000000"/>
          <w:sz w:val="20"/>
          <w:shd w:fill="FFFFFF" w:val="clear"/>
        </w:rPr>
        <w:t xml:space="preserve">shares of Class A common stock (including shares issued pursuant to the exercise in full of the underwriters’ option to purchase additional shares) for cash consideration of </w:t>
      </w:r>
      <w:r>
        <w:rPr>
          <w:rFonts w:ascii="Times New Roman;serif" w:hAnsi="Times New Roman;serif"/>
          <w:b w:val="false"/>
          <w:color w:val="000000"/>
          <w:sz w:val="20"/>
        </w:rPr>
        <w:t>$29.00</w:t>
      </w:r>
      <w:r>
        <w:rPr>
          <w:color w:val="000000"/>
          <w:shd w:fill="FFFFFF" w:val="clear"/>
        </w:rPr>
        <w:t xml:space="preserve"> </w:t>
      </w:r>
      <w:r>
        <w:rPr>
          <w:rFonts w:ascii="Times New Roman;serif" w:hAnsi="Times New Roman;serif"/>
          <w:b w:val="false"/>
          <w:color w:val="000000"/>
          <w:sz w:val="20"/>
          <w:shd w:fill="FFFFFF" w:val="clear"/>
        </w:rPr>
        <w:t xml:space="preserve">per share. </w:t>
      </w:r>
      <w:r>
        <w:rPr>
          <w:rFonts w:ascii="Times New Roman;serif" w:hAnsi="Times New Roman;serif"/>
          <w:b w:val="false"/>
          <w:color w:val="000000"/>
          <w:sz w:val="20"/>
        </w:rPr>
        <w:t>The IPO generated net proceeds of approximately $7,048 million after deducting underwriting discounts and commissions of approximately $157 million, but before deducting offering expenses of approximately $40 million. The Company</w:t>
      </w:r>
      <w:r>
        <w:rPr>
          <w:color w:val="000000"/>
          <w:shd w:fill="FFFFFF" w:val="clear"/>
        </w:rPr>
        <w:t xml:space="preserve"> </w:t>
      </w:r>
      <w:r>
        <w:rPr>
          <w:rFonts w:ascii="Times New Roman;serif" w:hAnsi="Times New Roman;serif"/>
          <w:b w:val="false"/>
          <w:color w:val="000000"/>
          <w:sz w:val="20"/>
          <w:shd w:fill="FFFFFF" w:val="clear"/>
        </w:rPr>
        <w:t xml:space="preserve">used the proceeds (net of underwriting discounts and commissions) from the issuance of </w:t>
      </w:r>
      <w:r>
        <w:rPr>
          <w:rFonts w:ascii="Times New Roman;serif" w:hAnsi="Times New Roman;serif"/>
          <w:b w:val="false"/>
          <w:color w:val="000000"/>
          <w:sz w:val="20"/>
        </w:rPr>
        <w:t>179,000,000</w:t>
      </w:r>
      <w:r>
        <w:rPr>
          <w:color w:val="000000"/>
          <w:shd w:fill="FFFFFF" w:val="clear"/>
        </w:rPr>
        <w:t xml:space="preserve"> </w:t>
      </w:r>
      <w:r>
        <w:rPr>
          <w:rFonts w:ascii="Times New Roman;serif" w:hAnsi="Times New Roman;serif"/>
          <w:b w:val="false"/>
          <w:color w:val="000000"/>
          <w:sz w:val="20"/>
          <w:shd w:fill="FFFFFF" w:val="clear"/>
        </w:rPr>
        <w:t>shares (</w:t>
      </w:r>
      <w:r>
        <w:rPr>
          <w:rFonts w:ascii="Times New Roman;serif" w:hAnsi="Times New Roman;serif"/>
          <w:b w:val="false"/>
          <w:color w:val="000000"/>
          <w:sz w:val="20"/>
        </w:rPr>
        <w:t>$5,078</w:t>
      </w:r>
      <w:r>
        <w:rPr>
          <w:color w:val="000000"/>
          <w:shd w:fill="FFFFFF" w:val="clear"/>
        </w:rPr>
        <w:t xml:space="preserve"> </w:t>
      </w:r>
      <w:r>
        <w:rPr>
          <w:rFonts w:ascii="Times New Roman;serif" w:hAnsi="Times New Roman;serif"/>
          <w:b w:val="false"/>
          <w:color w:val="000000"/>
          <w:sz w:val="20"/>
          <w:shd w:fill="FFFFFF" w:val="clear"/>
        </w:rPr>
        <w:t xml:space="preserve">million) in the IPO to purchase an equivalent number of newly issued Common Units from Medline Holdings, which Medline Holdings has in turn used </w:t>
      </w:r>
      <w:r>
        <w:rPr>
          <w:rFonts w:ascii="Times New Roman;serif" w:hAnsi="Times New Roman;serif"/>
          <w:b w:val="false"/>
          <w:color w:val="000000"/>
          <w:sz w:val="20"/>
        </w:rPr>
        <w:t>$731</w:t>
      </w:r>
      <w:r>
        <w:rPr>
          <w:color w:val="000000"/>
          <w:shd w:fill="FFFFFF" w:val="clear"/>
        </w:rPr>
        <w:t xml:space="preserve"> </w:t>
      </w:r>
      <w:r>
        <w:rPr>
          <w:rFonts w:ascii="Times New Roman;serif" w:hAnsi="Times New Roman;serif"/>
          <w:b w:val="false"/>
          <w:color w:val="000000"/>
          <w:sz w:val="20"/>
          <w:shd w:fill="FFFFFF" w:val="clear"/>
        </w:rPr>
        <w:t xml:space="preserve">million of which to repay in full all outstanding Euro Term Loans (as defined herein) and </w:t>
      </w:r>
      <w:r>
        <w:rPr>
          <w:rFonts w:ascii="Times New Roman;serif" w:hAnsi="Times New Roman;serif"/>
          <w:b w:val="false"/>
          <w:color w:val="000000"/>
          <w:sz w:val="20"/>
        </w:rPr>
        <w:t>$3,292</w:t>
      </w:r>
      <w:r>
        <w:rPr>
          <w:color w:val="000000"/>
          <w:shd w:fill="FFFFFF" w:val="clear"/>
        </w:rPr>
        <w:t xml:space="preserve"> </w:t>
      </w:r>
      <w:r>
        <w:rPr>
          <w:rFonts w:ascii="Times New Roman;serif" w:hAnsi="Times New Roman;serif"/>
          <w:b w:val="false"/>
          <w:color w:val="000000"/>
          <w:sz w:val="20"/>
          <w:shd w:fill="FFFFFF" w:val="clear"/>
        </w:rPr>
        <w:t xml:space="preserve">million of which to repay a portion of the outstanding USD Term Loans (as defined herein) which matures in 2028. The Company will use the remaining net proceeds for general corporate purposes and to bear all of the expenses of the IPO. The Company has used the proceeds (net of underwriting discounts and commissions) from the issuance of </w:t>
      </w:r>
      <w:r>
        <w:rPr>
          <w:rFonts w:ascii="Times New Roman;serif" w:hAnsi="Times New Roman;serif"/>
          <w:b w:val="false"/>
          <w:color w:val="000000"/>
          <w:sz w:val="20"/>
        </w:rPr>
        <w:t>37,034,482</w:t>
      </w:r>
      <w:r>
        <w:rPr>
          <w:color w:val="000000"/>
          <w:shd w:fill="FFFFFF" w:val="clear"/>
        </w:rPr>
        <w:t xml:space="preserve"> </w:t>
      </w:r>
      <w:r>
        <w:rPr>
          <w:rFonts w:ascii="Times New Roman;serif" w:hAnsi="Times New Roman;serif"/>
          <w:b w:val="false"/>
          <w:color w:val="000000"/>
          <w:sz w:val="20"/>
          <w:shd w:fill="FFFFFF" w:val="clear"/>
        </w:rPr>
        <w:t>shares (</w:t>
      </w:r>
      <w:r>
        <w:rPr>
          <w:rFonts w:ascii="Times New Roman;serif" w:hAnsi="Times New Roman;serif"/>
          <w:b w:val="false"/>
          <w:color w:val="000000"/>
          <w:sz w:val="20"/>
        </w:rPr>
        <w:t>$1,051</w:t>
      </w:r>
      <w:r>
        <w:rPr>
          <w:color w:val="000000"/>
          <w:shd w:fill="FFFFFF" w:val="clear"/>
        </w:rPr>
        <w:t xml:space="preserve"> </w:t>
      </w:r>
      <w:r>
        <w:rPr>
          <w:rFonts w:ascii="Times New Roman;serif" w:hAnsi="Times New Roman;serif"/>
          <w:b w:val="false"/>
          <w:color w:val="000000"/>
          <w:sz w:val="20"/>
          <w:shd w:fill="FFFFFF" w:val="clear"/>
        </w:rPr>
        <w:t xml:space="preserve">million) and the issuance of </w:t>
      </w:r>
      <w:r>
        <w:rPr>
          <w:rFonts w:ascii="Times New Roman;serif" w:hAnsi="Times New Roman;serif"/>
          <w:b w:val="false"/>
          <w:color w:val="000000"/>
          <w:sz w:val="20"/>
        </w:rPr>
        <w:t>32,405,172</w:t>
      </w:r>
      <w:r>
        <w:rPr>
          <w:color w:val="000000"/>
          <w:shd w:fill="FFFFFF" w:val="clear"/>
        </w:rPr>
        <w:t xml:space="preserve"> </w:t>
      </w:r>
      <w:r>
        <w:rPr>
          <w:rFonts w:ascii="Times New Roman;serif" w:hAnsi="Times New Roman;serif"/>
          <w:b w:val="false"/>
          <w:color w:val="000000"/>
          <w:sz w:val="20"/>
          <w:shd w:fill="FFFFFF" w:val="clear"/>
        </w:rPr>
        <w:t>shares (</w:t>
      </w:r>
      <w:r>
        <w:rPr>
          <w:rFonts w:ascii="Times New Roman;serif" w:hAnsi="Times New Roman;serif"/>
          <w:b w:val="false"/>
          <w:color w:val="000000"/>
          <w:sz w:val="20"/>
        </w:rPr>
        <w:t>$919</w:t>
      </w:r>
      <w:r>
        <w:rPr>
          <w:color w:val="000000"/>
          <w:shd w:fill="FFFFFF" w:val="clear"/>
        </w:rPr>
        <w:t xml:space="preserve"> </w:t>
      </w:r>
      <w:r>
        <w:rPr>
          <w:rFonts w:ascii="Times New Roman;serif" w:hAnsi="Times New Roman;serif"/>
          <w:b w:val="false"/>
          <w:color w:val="000000"/>
          <w:sz w:val="20"/>
          <w:shd w:fill="FFFFFF" w:val="clear"/>
        </w:rPr>
        <w:t>million) pursuant to the exercise in full by the underwriters of their option to purchase additional shares in the IPO to purchase or redeem an equivalent aggregate number of shares of Class A common stock and Common Units from certain pre-IPO owners.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95250"/>
                <wp:effectExtent l="0" t="0" r="0" b="0"/>
                <wp:wrapNone/>
                <wp:docPr id="11" name="Frame11"/>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10</w:t>
                      </w:r>
                    </w:p>
                  </w:txbxContent>
                </v:textbox>
                <w10:wrap type="none"/>
              </v:rect>
            </w:pict>
          </mc:Fallback>
        </mc:AlternateContent>
      </w:r>
    </w:p>
    <w:p>
      <w:pPr>
        <w:pStyle w:val="TextBody"/>
        <w:bidi w:val="0"/>
        <w:spacing w:before="0" w:after="0"/>
        <w:jc w:val="both"/>
        <w:rPr/>
      </w:pPr>
      <w:r>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1 - NATURE OF BUSINESS AND SIGNIFICANT ACCOUNTING POLICIES (Continued)</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Reorganization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December 16, 2025, prior to the completion of the IPO, the Company executed several reorganization transactions (the “Reorganization”) and amended and restated Limited Partnership Agreement of Medline Holdings (the “LP Agreement”), resulting in the following:</w:t>
      </w:r>
    </w:p>
    <w:p>
      <w:pPr>
        <w:pStyle w:val="TextBody"/>
        <w:bidi w:val="0"/>
        <w:spacing w:before="0" w:after="0"/>
        <w:jc w:val="both"/>
        <w:rPr/>
      </w:pPr>
      <w:r>
        <w:rPr/>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Medline Inc. became the general partner of Medline Holdings with 100% of the voting power and control of Medline Holdings.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All outstanding Class A Units and Class B CUPI Units of Medline Holdings were either (1) reclassified into Common Units, a new class of partnership interest of Medline Holdings, or (2) directly or indirectly exchanged for vested shares of Class A common stock and restricted stock units (“RSUs”) of Medline Inc. The holders of Common Units were also allocated shares of Class B common stock of Medline Inc. on a one-for-one basis with the number of their Common Units.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All outstanding Class B units of Medline Holdings were either (1) reclassified into Incentive Units, a new class of partnership interest of Medline Holdings, or (2) directly or indirectly exchanged for vested shares of Class A common stock of Medline Inc., in the case of vested Class B units, and restricted stock awards (“RSAs”), RSUs, and options of Medline Inc., in the case of unvested Class B units.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Holders of Incentive Units (“Incentive Unitholders”) have the right to exchange their vested Incentive Units for Common Units at the exchange rate defined by the amended LP Agreement.</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Recognition of noncontrolling interests due to the pre-IPO owners retaining an economic interest in Medline Holdings related to Common Units and Incentive Units.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After the Reorganization, Medline Inc.’s sole material asset is a controlling equity interest in Medline Holdings. As the general partner of Medline Holdings, Medline Inc. now operates and controls all of the business and affairs of Medline Holdings, and has the obligation to absorb losses and receive benefits from Medline Holdings and, through Medline Holdings and its subsidiaries, operate the business. The Reorganization has been accounted for as a reorganization of entities under common control. As a result, the consolidated financial statements of Medline Inc. recognized the assets and liabilities received in the Reorganization at their historical carrying amounts, as presented in the historical financial statements of Medline Holdings. Medline Inc. consolidates Medline Holdings on its consolidated financial statements and records a noncontrolling interest.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Basis of Presentation and Consolidation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unaudited condensed consolidated financial statements and accompanying notes are prepared in accordance with United States generally accepted accounting principles (“GAAP”) for interim financial information. Accordingly, certain information and footnote disclosures normally included in annual financial statements prepared in accordance with GAAP have been omitted. These unaudited interim condensed consolidated financial statements should be read in conjunction with the Company's consolidated financial statements for the year ended December 31, 2025. The results of businesses acquired or disposed of are included in the unaudited condensed consolidated financial statements from the date of the acquisition or up to the date of disposal, respectively. All adjustments, in the opinion of management, necessary to a fair statement of the results for the interim and annual periods presented have been made.</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unaudited condensed consolidated financial statements include the financial statements of the Company, all entities that are wholly-owned by the Company and all entities in which the Company has a controlling financial interest. All intercompany transactions and balances have been eliminated. A noncontrolling interest in a consolidated subsidiary represents the portion of the equity (net assets) in a subsidiary not attributable, directly or indirectly, to the Company. Noncontrolling interests are presented as a separate component of equity in the unaudited Condensed Consolidated Balance Sheets and the presentation of net income (loss) is modified to present earnings and other comprehensive income (loss) attributed to controlling and noncontrolling interests.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95250"/>
                <wp:effectExtent l="0" t="0" r="0" b="0"/>
                <wp:wrapNone/>
                <wp:docPr id="12" name="Frame12"/>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11</w:t>
                      </w:r>
                    </w:p>
                  </w:txbxContent>
                </v:textbox>
                <w10:wrap type="none"/>
              </v:rect>
            </w:pict>
          </mc:Fallback>
        </mc:AlternateContent>
      </w:r>
    </w:p>
    <w:p>
      <w:pPr>
        <w:pStyle w:val="TextBody"/>
        <w:bidi w:val="0"/>
        <w:spacing w:before="0" w:after="0"/>
        <w:jc w:val="both"/>
        <w:rPr/>
      </w:pPr>
      <w:r>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1 - NATURE OF BUSINESS AND SIGNIFICANT ACCOUNTING POLICIES (Continued)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reclassified certain prior period amounts in the unaudited Condensed Consolidated Statements of Cash Flows to conform to the current year’s presentation. The changes relate to the inclusion of an immaterial financial statement line item within another line item for presentation purposes. The change did not have an impact on the Company’s financial condition, operating results, or 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Fiscal Periods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fiscal year begins on January 1 and ends on December 31. The fiscal quarters are based on a four-four-five-week calendar with periods ending on the Saturday of the last week in the quarter, with the exception of December 31, which is always the fiscal year end date.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the unaudited condensed consolidated financial statements in conformity with U.S. GAAP requires management to make estimates and assumptions that affect the reported amounts of assets and liabilities and disclosure of contingent assets and liabilities at the date of the unaudited condensed consolidated financial statements, and the reported amounts of revenues and expenses during the reporting period. Such estimates include, but are not limited to, allowance for credit losses, inventory valuation reserves, fair value of financial instruments, impairment of long-lived assets and goodwill, tax receivable agreement (“TRA”), deferred tax valuations, depreciation and amortization, actuarial assumptions, and fair value allocations related to business combinations. Actual results could differ from those estimates.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Recently Adopted Accounting Standards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July 2025, the FASB issued ASU 2025-05, Financial Instruments - Credit Losses (ASC 326): Measurement of Credit Losses for Accounts Receivable and Contract Assets. ASU 2025-05 introduces a practical expedient allowing entities to assume current economic conditions, as of the balance sheet date, remain unchanged when estimating expected credit losses for current trade receivables and contract assets. The standard is effective for fiscal years beginning after December 15, 2025 on a prospective basis, and including interim periods, with early adoption permitted. The Company has adopted this standard on a prospective basis in the first quarter of 2026, and the adoption did not have a material impact on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2 - INVENTORIES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Inventories consisted of the following as of:</w:t>
      </w:r>
    </w:p>
    <w:p>
      <w:pPr>
        <w:pStyle w:val="TextBody"/>
        <w:bidi w:val="0"/>
        <w:spacing w:before="0" w:after="0"/>
        <w:jc w:val="both"/>
        <w:rPr/>
      </w:pPr>
      <w:r>
        <w:rPr/>
      </w:r>
    </w:p>
    <w:tbl>
      <w:tblPr>
        <w:tblW w:w="6025" w:type="dxa"/>
        <w:jc w:val="left"/>
        <w:tblInd w:w="0" w:type="dxa"/>
        <w:tblLayout w:type="fixed"/>
        <w:tblCellMar>
          <w:top w:w="28" w:type="dxa"/>
          <w:left w:w="28" w:type="dxa"/>
          <w:bottom w:w="28" w:type="dxa"/>
          <w:right w:w="28" w:type="dxa"/>
        </w:tblCellMar>
      </w:tblPr>
      <w:tblGrid>
        <w:gridCol w:w="1053"/>
        <w:gridCol w:w="927"/>
        <w:gridCol w:w="930"/>
        <w:gridCol w:w="283"/>
        <w:gridCol w:w="804"/>
        <w:gridCol w:w="157"/>
        <w:gridCol w:w="109"/>
        <w:gridCol w:w="109"/>
        <w:gridCol w:w="109"/>
        <w:gridCol w:w="334"/>
        <w:gridCol w:w="948"/>
        <w:gridCol w:w="262"/>
      </w:tblGrid>
      <w:tr>
        <w:trPr/>
        <w:tc>
          <w:tcPr>
            <w:tcW w:w="1053"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Raw materials and work in process, net</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748 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Finished goods, net</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3,972 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4,021 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 xml:space="preserve">Inventories, net </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4,807 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4,769 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last-in, first-out inventories had been valued on a current cost or first-in, first-out basis, they would have been greater by $388 million and $359 million as of March 28, 2026 and December 31, 2025, respectively. The inventory reserve for obsolescence was $56 million and $44 million as of March 28, 2026 and December 31, 2025,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95250"/>
                <wp:effectExtent l="0" t="0" r="0" b="0"/>
                <wp:wrapNone/>
                <wp:docPr id="13" name="Frame13"/>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12</w:t>
                      </w:r>
                    </w:p>
                  </w:txbxContent>
                </v:textbox>
                <w10:wrap type="none"/>
              </v:rect>
            </w:pict>
          </mc:Fallback>
        </mc:AlternateContent>
      </w:r>
    </w:p>
    <w:p>
      <w:pPr>
        <w:pStyle w:val="TextBody"/>
        <w:bidi w:val="0"/>
        <w:spacing w:before="0" w:after="0"/>
        <w:jc w:val="both"/>
        <w:rPr/>
      </w:pPr>
      <w:r>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3 - GOODWILL AND INTANGIBLE ASSETS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Changes in the carrying amount of Goodwill were as follows:</w:t>
      </w:r>
    </w:p>
    <w:tbl>
      <w:tblPr>
        <w:tblW w:w="6842" w:type="dxa"/>
        <w:jc w:val="left"/>
        <w:tblInd w:w="0" w:type="dxa"/>
        <w:tblLayout w:type="fixed"/>
        <w:tblCellMar>
          <w:top w:w="28" w:type="dxa"/>
          <w:left w:w="28" w:type="dxa"/>
          <w:bottom w:w="28" w:type="dxa"/>
          <w:right w:w="28" w:type="dxa"/>
        </w:tblCellMar>
      </w:tblPr>
      <w:tblGrid>
        <w:gridCol w:w="885"/>
        <w:gridCol w:w="779"/>
        <w:gridCol w:w="781"/>
        <w:gridCol w:w="554"/>
        <w:gridCol w:w="306"/>
        <w:gridCol w:w="310"/>
        <w:gridCol w:w="109"/>
        <w:gridCol w:w="109"/>
        <w:gridCol w:w="109"/>
        <w:gridCol w:w="850"/>
        <w:gridCol w:w="472"/>
        <w:gridCol w:w="477"/>
        <w:gridCol w:w="109"/>
        <w:gridCol w:w="109"/>
        <w:gridCol w:w="109"/>
        <w:gridCol w:w="218"/>
        <w:gridCol w:w="229"/>
        <w:gridCol w:w="327"/>
      </w:tblGrid>
      <w:tr>
        <w:trPr/>
        <w:tc>
          <w:tcPr>
            <w:tcW w:w="885"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Medline Brand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Supply Chain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December 31, 2025</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8,079</w:t>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Currency translation adjustments</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March 28, 2026</w:t>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8,076</w:t>
            </w:r>
          </w:p>
        </w:tc>
      </w:tr>
    </w:tbl>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Identifiable intangible assets consist of the following as of:</w:t>
      </w:r>
    </w:p>
    <w:tbl>
      <w:tblPr>
        <w:tblW w:w="11153" w:type="dxa"/>
        <w:jc w:val="left"/>
        <w:tblInd w:w="0" w:type="dxa"/>
        <w:tblLayout w:type="fixed"/>
        <w:tblCellMar>
          <w:top w:w="28" w:type="dxa"/>
          <w:left w:w="28" w:type="dxa"/>
          <w:bottom w:w="28" w:type="dxa"/>
          <w:right w:w="28" w:type="dxa"/>
        </w:tblCellMar>
      </w:tblPr>
      <w:tblGrid>
        <w:gridCol w:w="628"/>
        <w:gridCol w:w="315"/>
        <w:gridCol w:w="258"/>
        <w:gridCol w:w="290"/>
        <w:gridCol w:w="290"/>
        <w:gridCol w:w="291"/>
        <w:gridCol w:w="109"/>
        <w:gridCol w:w="109"/>
        <w:gridCol w:w="109"/>
        <w:gridCol w:w="196"/>
        <w:gridCol w:w="646"/>
        <w:gridCol w:w="109"/>
        <w:gridCol w:w="109"/>
        <w:gridCol w:w="109"/>
        <w:gridCol w:w="109"/>
        <w:gridCol w:w="231"/>
        <w:gridCol w:w="675"/>
        <w:gridCol w:w="130"/>
        <w:gridCol w:w="109"/>
        <w:gridCol w:w="109"/>
        <w:gridCol w:w="109"/>
        <w:gridCol w:w="196"/>
        <w:gridCol w:w="646"/>
        <w:gridCol w:w="109"/>
        <w:gridCol w:w="109"/>
        <w:gridCol w:w="109"/>
        <w:gridCol w:w="109"/>
        <w:gridCol w:w="290"/>
        <w:gridCol w:w="290"/>
        <w:gridCol w:w="291"/>
        <w:gridCol w:w="109"/>
        <w:gridCol w:w="109"/>
        <w:gridCol w:w="109"/>
        <w:gridCol w:w="196"/>
        <w:gridCol w:w="646"/>
        <w:gridCol w:w="109"/>
        <w:gridCol w:w="109"/>
        <w:gridCol w:w="109"/>
        <w:gridCol w:w="109"/>
        <w:gridCol w:w="231"/>
        <w:gridCol w:w="675"/>
        <w:gridCol w:w="130"/>
        <w:gridCol w:w="109"/>
        <w:gridCol w:w="109"/>
        <w:gridCol w:w="109"/>
        <w:gridCol w:w="196"/>
        <w:gridCol w:w="646"/>
        <w:gridCol w:w="154"/>
      </w:tblGrid>
      <w:tr>
        <w:trPr/>
        <w:tc>
          <w:tcPr>
            <w:tcW w:w="62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March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12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Weighted Average Remaining Useful 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Weighted Average Remaining Useful 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Net Carrying Amount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Finite-lived intangible assets:</w:t>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(2,364)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names</w:t>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Developed technology</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finite-lived intangible assets</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(2,996)</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(2,821)</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Indefinite-lived trade names</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(2,996)</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(2,821)</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Estimated amortization expense for the remainder of fiscal year 2026 and over the next four years and thereafter is as follows:</w:t>
      </w:r>
    </w:p>
    <w:tbl>
      <w:tblPr>
        <w:tblW w:w="1763" w:type="dxa"/>
        <w:jc w:val="left"/>
        <w:tblInd w:w="0" w:type="dxa"/>
        <w:tblLayout w:type="fixed"/>
        <w:tblCellMar>
          <w:top w:w="28" w:type="dxa"/>
          <w:left w:w="28" w:type="dxa"/>
          <w:bottom w:w="28" w:type="dxa"/>
          <w:right w:w="28" w:type="dxa"/>
        </w:tblCellMar>
      </w:tblPr>
      <w:tblGrid>
        <w:gridCol w:w="358"/>
        <w:gridCol w:w="315"/>
        <w:gridCol w:w="316"/>
        <w:gridCol w:w="218"/>
        <w:gridCol w:w="228"/>
        <w:gridCol w:w="328"/>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7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528</w:t>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704</w:t>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704</w:t>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702</w:t>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701</w:t>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6,548</w:t>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9,887</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95250"/>
                <wp:effectExtent l="0" t="0" r="0" b="0"/>
                <wp:wrapNone/>
                <wp:docPr id="14" name="Frame14"/>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13</w:t>
                      </w:r>
                    </w:p>
                  </w:txbxContent>
                </v:textbox>
                <w10:wrap type="none"/>
              </v:rect>
            </w:pict>
          </mc:Fallback>
        </mc:AlternateContent>
      </w:r>
    </w:p>
    <w:p>
      <w:pPr>
        <w:pStyle w:val="TextBody"/>
        <w:bidi w:val="0"/>
        <w:spacing w:before="0" w:after="0"/>
        <w:jc w:val="left"/>
        <w:rPr/>
      </w:pPr>
      <w:r>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4 - ACCRUED EXPENSES AND OTHER CURRENT LIABILITIES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elements of accrued expenses and other current liabilities are as follows as of:</w:t>
      </w:r>
    </w:p>
    <w:p>
      <w:pPr>
        <w:pStyle w:val="TextBody"/>
        <w:bidi w:val="0"/>
        <w:spacing w:before="0" w:after="0"/>
        <w:jc w:val="both"/>
        <w:rPr/>
      </w:pPr>
      <w:r>
        <w:rPr/>
      </w:r>
    </w:p>
    <w:tbl>
      <w:tblPr>
        <w:tblW w:w="7135" w:type="dxa"/>
        <w:jc w:val="left"/>
        <w:tblInd w:w="0" w:type="dxa"/>
        <w:tblLayout w:type="fixed"/>
        <w:tblCellMar>
          <w:top w:w="28" w:type="dxa"/>
          <w:left w:w="28" w:type="dxa"/>
          <w:bottom w:w="28" w:type="dxa"/>
          <w:right w:w="28" w:type="dxa"/>
        </w:tblCellMar>
      </w:tblPr>
      <w:tblGrid>
        <w:gridCol w:w="1452"/>
        <w:gridCol w:w="1278"/>
        <w:gridCol w:w="1290"/>
        <w:gridCol w:w="283"/>
        <w:gridCol w:w="804"/>
        <w:gridCol w:w="157"/>
        <w:gridCol w:w="109"/>
        <w:gridCol w:w="109"/>
        <w:gridCol w:w="109"/>
        <w:gridCol w:w="334"/>
        <w:gridCol w:w="948"/>
        <w:gridCol w:w="262"/>
      </w:tblGrid>
      <w:tr>
        <w:trPr/>
        <w:tc>
          <w:tcPr>
            <w:tcW w:w="1452"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March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Payroll</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323 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rebates and distributor chargebacks</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406 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payable, net</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Indirect tax payable</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liability</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402 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accrued expenses and other current liabilities</w:t>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1,527 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1,452 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5 – CREDIT AGREEMENTS AND BORROWINGS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current portion of long-term borrowings and other short-term borrowings consists of the following as of:</w:t>
      </w:r>
    </w:p>
    <w:tbl>
      <w:tblPr>
        <w:tblW w:w="5800" w:type="dxa"/>
        <w:jc w:val="left"/>
        <w:tblInd w:w="0" w:type="dxa"/>
        <w:tblLayout w:type="fixed"/>
        <w:tblCellMar>
          <w:top w:w="28" w:type="dxa"/>
          <w:left w:w="28" w:type="dxa"/>
          <w:bottom w:w="28" w:type="dxa"/>
          <w:right w:w="28" w:type="dxa"/>
        </w:tblCellMar>
      </w:tblPr>
      <w:tblGrid>
        <w:gridCol w:w="972"/>
        <w:gridCol w:w="855"/>
        <w:gridCol w:w="858"/>
        <w:gridCol w:w="383"/>
        <w:gridCol w:w="648"/>
        <w:gridCol w:w="213"/>
        <w:gridCol w:w="109"/>
        <w:gridCol w:w="109"/>
        <w:gridCol w:w="109"/>
        <w:gridCol w:w="443"/>
        <w:gridCol w:w="750"/>
        <w:gridCol w:w="351"/>
      </w:tblGrid>
      <w:tr>
        <w:trPr/>
        <w:tc>
          <w:tcPr>
            <w:tcW w:w="97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March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Current portion of long-term debt </w:t>
            </w:r>
            <w:r>
              <w:rPr>
                <w:rFonts w:ascii="Times New Roman;serif" w:hAnsi="Times New Roman;serif"/>
                <w:b w:val="false"/>
                <w:color w:val="000000"/>
                <w:sz w:val="12"/>
              </w:rPr>
              <w:t>(1)</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short-term debt</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 xml:space="preserve">Total </w:t>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Consists of a portion of the secured Dollar Term Loans bearing variable interest rate.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long-term borrowings and the effective interest rates are summarized as follows as of:</w:t>
      </w:r>
    </w:p>
    <w:tbl>
      <w:tblPr>
        <w:tblW w:w="10205" w:type="dxa"/>
        <w:jc w:val="left"/>
        <w:tblInd w:w="0" w:type="dxa"/>
        <w:tblLayout w:type="fixed"/>
        <w:tblCellMar>
          <w:top w:w="28" w:type="dxa"/>
          <w:left w:w="28" w:type="dxa"/>
          <w:bottom w:w="28" w:type="dxa"/>
          <w:right w:w="28" w:type="dxa"/>
        </w:tblCellMar>
      </w:tblPr>
      <w:tblGrid>
        <w:gridCol w:w="783"/>
        <w:gridCol w:w="688"/>
        <w:gridCol w:w="693"/>
        <w:gridCol w:w="349"/>
        <w:gridCol w:w="349"/>
        <w:gridCol w:w="351"/>
        <w:gridCol w:w="109"/>
        <w:gridCol w:w="109"/>
        <w:gridCol w:w="109"/>
        <w:gridCol w:w="199"/>
        <w:gridCol w:w="657"/>
        <w:gridCol w:w="110"/>
        <w:gridCol w:w="109"/>
        <w:gridCol w:w="109"/>
        <w:gridCol w:w="109"/>
        <w:gridCol w:w="452"/>
        <w:gridCol w:w="415"/>
        <w:gridCol w:w="979"/>
        <w:gridCol w:w="109"/>
        <w:gridCol w:w="109"/>
        <w:gridCol w:w="109"/>
        <w:gridCol w:w="199"/>
        <w:gridCol w:w="657"/>
        <w:gridCol w:w="110"/>
        <w:gridCol w:w="109"/>
        <w:gridCol w:w="109"/>
        <w:gridCol w:w="109"/>
        <w:gridCol w:w="427"/>
        <w:gridCol w:w="387"/>
        <w:gridCol w:w="1092"/>
      </w:tblGrid>
      <w:tr>
        <w:trPr/>
        <w:tc>
          <w:tcPr>
            <w:tcW w:w="78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r>
      <w:tr>
        <w:trPr/>
        <w:tc>
          <w:tcPr>
            <w:tcW w:w="2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March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2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Maturity dates </w:t>
              <w:br/>
              <w:t>by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Amount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Average effective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Amount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Average effective interest rate</w:t>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Long-term borrowings</w:t>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Unsecured debt</w:t>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Fixed</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5.61 </w:t>
            </w:r>
          </w:p>
        </w:tc>
        <w:tc>
          <w:tcPr>
            <w:tcW w:w="9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5.61 </w:t>
            </w:r>
          </w:p>
        </w:tc>
        <w:tc>
          <w:tcPr>
            <w:tcW w:w="10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Total unsecured debt</w:t>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Secured debt</w:t>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Fixed</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4.79 </w:t>
            </w:r>
          </w:p>
        </w:tc>
        <w:tc>
          <w:tcPr>
            <w:tcW w:w="9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4.79 </w:t>
            </w:r>
          </w:p>
        </w:tc>
        <w:tc>
          <w:tcPr>
            <w:tcW w:w="10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64"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6" w:type="dxa"/>
            <w:gridSpan w:val="3"/>
            <w:tcBorders/>
            <w:vAlign w:val="center"/>
          </w:tcPr>
          <w:p>
            <w:pPr>
              <w:pStyle w:val="TableContents"/>
              <w:bidi w:val="0"/>
              <w:spacing w:before="0" w:after="283"/>
              <w:jc w:val="left"/>
              <w:rPr>
                <w:sz w:val="4"/>
                <w:szCs w:val="4"/>
              </w:rPr>
            </w:pPr>
            <w:r>
              <w:rPr>
                <w:sz w:val="4"/>
                <w:szCs w:val="4"/>
              </w:rPr>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Variable</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2026 - 2030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4,255 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6.26 </w:t>
            </w:r>
          </w:p>
        </w:tc>
        <w:tc>
          <w:tcPr>
            <w:tcW w:w="9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4,255 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7.10 </w:t>
            </w:r>
          </w:p>
        </w:tc>
        <w:tc>
          <w:tcPr>
            <w:tcW w:w="10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Total secured debt</w:t>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10,255 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10,255 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debt</w:t>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12,755 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12,755 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amounts due within one year</w:t>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Total other </w:t>
            </w:r>
            <w:r>
              <w:rPr>
                <w:rFonts w:ascii="Times New Roman;serif" w:hAnsi="Times New Roman;serif"/>
                <w:b w:val="false"/>
                <w:color w:val="000000"/>
                <w:sz w:val="12"/>
              </w:rPr>
              <w:t>(1)</w:t>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long-term borrowings</w:t>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12,495 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12,484 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Includes deferred financing costs and embedded derivative related to the Dollar Term Loans.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70510"/>
                <wp:effectExtent l="0" t="0" r="0" b="0"/>
                <wp:wrapNone/>
                <wp:docPr id="15" name="Frame15"/>
                <a:graphic xmlns:a="http://schemas.openxmlformats.org/drawingml/2006/main">
                  <a:graphicData uri="http://schemas.microsoft.com/office/word/2010/wordprocessingShape">
                    <wps:wsp>
                      <wps:cNvSpPr txBox="1"/>
                      <wps:spPr>
                        <a:xfrm>
                          <a:off x="0" y="0"/>
                          <a:ext cx="6480175" cy="2705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14</w:t>
                      </w:r>
                    </w:p>
                  </w:txbxContent>
                </v:textbox>
                <w10:wrap type="none"/>
              </v:rect>
            </w:pict>
          </mc:Fallback>
        </mc:AlternateContent>
      </w:r>
    </w:p>
    <w:p>
      <w:pPr>
        <w:pStyle w:val="TextBody"/>
        <w:bidi w:val="0"/>
        <w:spacing w:before="0" w:after="0"/>
        <w:jc w:val="both"/>
        <w:rPr/>
      </w:pPr>
      <w:r>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5 – CREDIT AGREEMENTS AND BORROWINGS (Continued)</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Long-Term Debt</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Senior Secured and Unsecured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2021, the Company issued senior secured notes with a principal amount of $4,500 million, at a fixed rate of 3.875% and maturity date of April 1, 2029 and senior unsecured notes with a principal amount of $2,500 million at a fixed rate of 5.250% with a maturity date of October 1, 2029.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2024, the Company issued senior secured notes with a principal amount of $1,500 million at a fixed rate of 6.250% and a maturity date of April 1, 2029.</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on all aforementioned senior secured and unsecured notes is payable in cash on a semi-annual basis, with payments made in arrears on April 1 and October 1 of each calendar year.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Term Loan Facilities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2021, the Company borrowed $7,270 million under a senior secured term loan facility (the “Dollar Term Loans”), in addition to €435 million under a separate euro-denominated senior secured term loan facility (the “Euro Term Loans”), both established under a credit agreement (the “Credit Agreement”). The Credit Agreement permits the Company, at any time, subject to customary conditions, to request incremental term loans or incremental revolving credit commitments in an aggregate principal amount of up to (a) the greater of (1) $2,375 million and (2) an amount equal to 100% of the Company’s trailing consolidated EBITDA (as defined in the Credit Agreement) for the most recently ended period of four consecutive fiscal quarters for which financial statements are internally available, on a pro forma basis plus (b) certain additional amounts based on satisfaction of a certain consolidated first lien net leverage ratio and subject to certain other customary conditions.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2024, the Credit Agreement underwent three separate amendments. These amendments resulted in an increase of $520 million in the principal amount of the Dollar Term Loans, as well as an increase of €185 million in the aggregate principal amount of the Euro Term Loans. In addition, pursuant to the amendments, the applicable interest rate margins were lowered, resulting in a variable interest rate of Secured Overnight Financing Rate (“SOFR”) plus a spread of 2.25% for the Dollar Term Loans, and a variable interest rate of EURO Interbank offer Rate plus an applicable spread ranging from 2.25% to 2.75% based on certain of the Company’s debt ratios for the Euro Term Loans.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July 31, 2025, the Credit Agreement was amended to reduce the margin spread and to extend the maturity of certain obligations. Pursuant to the amendment, all of the Dollar Term Loans are subject to a margin spread of SOFR plus 2.00%. The principal amount of the Dollar Term Loans equal to $4,074 million will mature on October 21, 2028, which remained unchanged, while the principal amount of the Dollar Term Loans equal to $3,500 million will mature on October 23, 2030, extended from the original maturity date.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December 18, 2025, the Company used a portion of the proceeds from the IPO to prepay a portion of the Dollar Term Loans with a maturity date of October 21, 2028 in the amount of $3,281 million and all of the outstanding principal of the Euro Term Loans, equivalent to $730 million. Per the terms of the Credit Agreement, the completion of the IPO also triggered a reduction in variable interest rate of 0.25%, resulting in a variable interest rate of SOFR plus 1.75% for the remaining Dollar Term Loans.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Dollar Term Loans require quarterly amortization payments of 0.25% of the amended principal due at each calendar quarter-end. There were no amortization payments for the three months ended March 28, 2026 or March 29, 2025, respectively. There were no mandatory amortization payments for the Euro Term Loans.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70510"/>
                <wp:effectExtent l="0" t="0" r="0" b="0"/>
                <wp:wrapNone/>
                <wp:docPr id="16" name="Frame16"/>
                <a:graphic xmlns:a="http://schemas.openxmlformats.org/drawingml/2006/main">
                  <a:graphicData uri="http://schemas.microsoft.com/office/word/2010/wordprocessingShape">
                    <wps:wsp>
                      <wps:cNvSpPr txBox="1"/>
                      <wps:spPr>
                        <a:xfrm>
                          <a:off x="0" y="0"/>
                          <a:ext cx="6480175" cy="2705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15</w:t>
                      </w:r>
                    </w:p>
                  </w:txbxContent>
                </v:textbox>
                <w10:wrap type="none"/>
              </v:rect>
            </w:pict>
          </mc:Fallback>
        </mc:AlternateContent>
      </w:r>
    </w:p>
    <w:p>
      <w:pPr>
        <w:pStyle w:val="TextBody"/>
        <w:bidi w:val="0"/>
        <w:spacing w:before="0" w:after="0"/>
        <w:jc w:val="both"/>
        <w:rPr/>
      </w:pPr>
      <w:r>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5 – CREDIT AGREEMENTS AND BORROWINGS (Continued)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fair value of the Company’s long-term borrowings as of March 28, 2026 and December 31, 2025 was based on recent trades as reported by a third-party bond pricing service and summarized as follows. Due to the infrequency of trades, these inputs are considered to be Level 2 inputs.</w:t>
      </w:r>
    </w:p>
    <w:p>
      <w:pPr>
        <w:pStyle w:val="TextBody"/>
        <w:bidi w:val="0"/>
        <w:spacing w:before="0" w:after="0"/>
        <w:jc w:val="both"/>
        <w:rPr/>
      </w:pPr>
      <w:r>
        <w:rPr/>
      </w:r>
    </w:p>
    <w:tbl>
      <w:tblPr>
        <w:tblW w:w="5167" w:type="dxa"/>
        <w:jc w:val="left"/>
        <w:tblInd w:w="0" w:type="dxa"/>
        <w:tblLayout w:type="fixed"/>
        <w:tblCellMar>
          <w:top w:w="28" w:type="dxa"/>
          <w:left w:w="28" w:type="dxa"/>
          <w:bottom w:w="28" w:type="dxa"/>
          <w:right w:w="28" w:type="dxa"/>
        </w:tblCellMar>
      </w:tblPr>
      <w:tblGrid>
        <w:gridCol w:w="624"/>
        <w:gridCol w:w="549"/>
        <w:gridCol w:w="551"/>
        <w:gridCol w:w="109"/>
        <w:gridCol w:w="109"/>
        <w:gridCol w:w="109"/>
        <w:gridCol w:w="280"/>
        <w:gridCol w:w="820"/>
        <w:gridCol w:w="145"/>
        <w:gridCol w:w="109"/>
        <w:gridCol w:w="109"/>
        <w:gridCol w:w="109"/>
        <w:gridCol w:w="332"/>
        <w:gridCol w:w="970"/>
        <w:gridCol w:w="242"/>
      </w:tblGrid>
      <w:tr>
        <w:trPr/>
        <w:tc>
          <w:tcPr>
            <w:tcW w:w="62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March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Dollar Term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4,268 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4,276 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3.875% fixed rate note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4,399 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5.250% fixed rate note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2,516 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6.250% fixed rate note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indentures contain certain affirmative and negative covenants, which require, among other provisions, delivery of the unaudited condensed consolidated financial statements to the relevant note holders. Compliance with the covenants does not significantly impact the Company’s operations. As of March 28, 2026, the Company was in compliance with all the covenants under the Credit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Future aggregate principal amounts for the remainder of fiscal year 2026 and over the next four years are as follows:</w:t>
      </w:r>
    </w:p>
    <w:p>
      <w:pPr>
        <w:pStyle w:val="TextBody"/>
        <w:bidi w:val="0"/>
        <w:spacing w:before="0" w:after="0"/>
        <w:jc w:val="both"/>
        <w:rPr/>
      </w:pPr>
      <w:r>
        <w:rPr/>
      </w:r>
    </w:p>
    <w:tbl>
      <w:tblPr>
        <w:tblW w:w="2248" w:type="dxa"/>
        <w:jc w:val="left"/>
        <w:tblInd w:w="0" w:type="dxa"/>
        <w:tblLayout w:type="fixed"/>
        <w:tblCellMar>
          <w:top w:w="28" w:type="dxa"/>
          <w:left w:w="28" w:type="dxa"/>
          <w:bottom w:w="28" w:type="dxa"/>
          <w:right w:w="28" w:type="dxa"/>
        </w:tblCellMar>
      </w:tblPr>
      <w:tblGrid>
        <w:gridCol w:w="358"/>
        <w:gridCol w:w="315"/>
        <w:gridCol w:w="316"/>
        <w:gridCol w:w="248"/>
        <w:gridCol w:w="817"/>
        <w:gridCol w:w="194"/>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Debt Maturities</w:t>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8,535 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3,342 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12,755 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Revolving Credit Facilities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2021, certain lenders provided the Company with commitments under a $1,000 million senior secured revolving credit facility under the Credit Agreement (the “Revolving Credit Facility”).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amendment to the Credit Agreement in 2024 extended the maturity date of the Revolving Credit Facility from October 21, 2026 to July 8, 2029 (subject to a springing maturity 91 days inside of the maturity date of all secured and unsecured notes and term loan facilities) and did not change the maximum borrowing capacity of $1,000 million or any other terms.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28, 2025, the Company amended the Credit Agreement to permit letter of credit issuers to issue letters of credit in excess of their respective letter of credit commitments and to obligate the other lenders under the Company’s Revolving Credit Facility to participate in such letters of credit, subject to other customary limitations.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28, 2026 and December 31, 2025, the Revolving Credit Facility had several financial institutions as lenders for a maximum borrowing capacity of $1,000 million. The Revolving Credit Facility accrues commitment fees in respect of unfunded commitments thereunder. Letters of credit issued under the Revolving Credit Facility reduce availability under the Revolving Credit Facility dollar-for-dollar. As of March 28, 2026 and December 31, 2025, availability under the Revolving Credit Facility was $946 million and $947 million, respectively, after taking into account outstanding letters of credit of $54 million and $53 million, respectively. The Company had no borrowings under the Revolving Credit Facility during the three months ended March 28, 2026. During the year ended December 31, 2025, the Company borrowed and repaid $179 million under the Revolving Credit Facility. As a result, there were no amounts outstanding as of March 28, 2026 or December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95250"/>
                <wp:effectExtent l="0" t="0" r="0" b="0"/>
                <wp:wrapNone/>
                <wp:docPr id="17" name="Frame17"/>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16</w:t>
                      </w:r>
                    </w:p>
                  </w:txbxContent>
                </v:textbox>
                <w10:wrap type="none"/>
              </v:rect>
            </w:pict>
          </mc:Fallback>
        </mc:AlternateContent>
      </w:r>
    </w:p>
    <w:p>
      <w:pPr>
        <w:pStyle w:val="TextBody"/>
        <w:bidi w:val="0"/>
        <w:spacing w:before="0" w:after="0"/>
        <w:jc w:val="left"/>
        <w:rPr/>
      </w:pPr>
      <w:r>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br/>
        <w:t>NOTE 5 – CREDIT AGREEMENTS AND BORROWINGS (Continued)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Borrowings under the Revolving Credit Facility may be repaid and borrowed again, partially or wholly at any time, from time to time, as elected by the Company and interest is typically paid on a monthly or quarterly basis, depending on the interest period elected.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Credit Agreement contains certain affirmative and negative covenants, which require, among other provisions, delivery of the unaudited condensed consolidated financial statements to the relevant debt holders. As of March 28, 2026, the Company was in compliance with all covenants.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6 - INTEREST EXPENSE, NET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Interest expense, net:</w:t>
      </w:r>
    </w:p>
    <w:p>
      <w:pPr>
        <w:pStyle w:val="TextBody"/>
        <w:bidi w:val="0"/>
        <w:spacing w:before="0" w:after="0"/>
        <w:jc w:val="both"/>
        <w:rPr/>
      </w:pPr>
      <w:r>
        <w:rPr/>
      </w:r>
    </w:p>
    <w:tbl>
      <w:tblPr>
        <w:tblW w:w="5209" w:type="dxa"/>
        <w:jc w:val="left"/>
        <w:tblInd w:w="0" w:type="dxa"/>
        <w:tblLayout w:type="fixed"/>
        <w:tblCellMar>
          <w:top w:w="28" w:type="dxa"/>
          <w:left w:w="28" w:type="dxa"/>
          <w:bottom w:w="28" w:type="dxa"/>
          <w:right w:w="28" w:type="dxa"/>
        </w:tblCellMar>
      </w:tblPr>
      <w:tblGrid>
        <w:gridCol w:w="614"/>
        <w:gridCol w:w="540"/>
        <w:gridCol w:w="541"/>
        <w:gridCol w:w="109"/>
        <w:gridCol w:w="109"/>
        <w:gridCol w:w="109"/>
        <w:gridCol w:w="109"/>
        <w:gridCol w:w="304"/>
        <w:gridCol w:w="771"/>
        <w:gridCol w:w="169"/>
        <w:gridCol w:w="109"/>
        <w:gridCol w:w="109"/>
        <w:gridCol w:w="109"/>
        <w:gridCol w:w="304"/>
        <w:gridCol w:w="771"/>
        <w:gridCol w:w="169"/>
        <w:gridCol w:w="109"/>
        <w:gridCol w:w="154"/>
      </w:tblGrid>
      <w:tr>
        <w:trPr/>
        <w:tc>
          <w:tcPr>
            <w:tcW w:w="61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7" w:type="dxa"/>
            <w:gridSpan w:val="12"/>
            <w:tcBorders/>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263" w:type="dxa"/>
            <w:gridSpan w:val="2"/>
            <w:tcBorders/>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March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March 29,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7 - TAX RECEIVABLE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IPO, the Company entered into a TRA with certain pre-IPO owners that provides for the payment by Medline Inc. to such pre-IPO owners of 90% of certain tax benefits, if any, that Medline Inc. actually realizes, or is deemed to realize (calculated using certain assumptions), as a result of (i) Medline Inc.’s allocable share of existing tax basis in Medline Holdings’ assets acquired in the IPO, (ii) increases in Medline Inc.’s allocable share of existing tax basis and tax basis adjustments to the tangible and intangible assets of Medline Holdings as a result of sales or exchanges of Common Units (including Common Units issued upon conversion of vested Incentive Units) in connection with or after the IPO, (iii) Medline Inc.’s utilization of certain tax attributes (including any existing tax basis) of certain entities that are taxable as corporations for U.S. federal income tax purposes through which the pre-IPO owners held their interest in Medline Holdings prior to the IPO, which Medline Inc. acquired in connection with the IPO, and (iv) certain other tax benefits related to entering into the TRA, including tax benefits attributable to payments under the TRA.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Sales or exchanges of Common Units by their holders to Medline are expected to result in increases in the tax basis of the assets of Medline Holdings. The existing tax basis, increases in existing tax basis, and the tax basis adjustments generated over time may increase (for tax purpose) depreciation and amortization deductions available to Medline Inc. and, therefore, may reduce the amount of tax that Medline Inc. would otherwise be required to pay in the future. Actual tax benefits realized by Medline Inc. may differ from tax benefits calculated under the tax receivable agreement as a result of the use of certain assumptions in the TRA, including the use of an assumed weighted-average state and local income tax rate of 6% (as adjusted to take into account the U.S. federal tax benefit of such taxes) to calculate the tax benefits. This payment obligation is an obligation of Medline Inc. and not of Medline Holdings. Changes in the estimate of expected tax benefits Medline would realize and the amount payable under the TRA as a result of changes in tax rates will be reflected in the unaudited Condensed Consolidated Statements of Comprehensive Income. </w:t>
      </w:r>
    </w:p>
    <w:p>
      <w:pPr>
        <w:pStyle w:val="TextBody"/>
        <w:bidi w:val="0"/>
        <w:spacing w:lineRule="auto" w:line="276" w:before="200" w:after="283"/>
        <w:jc w:val="both"/>
        <w:rPr>
          <w:rFonts w:ascii="Times New Roman;serif" w:hAnsi="Times New Roman;serif"/>
          <w:b w:val="false"/>
          <w:color w:val="000000"/>
          <w:sz w:val="20"/>
        </w:rPr>
      </w:pPr>
      <w:r>
        <w:rPr>
          <w:rFonts w:ascii="Times New Roman;serif" w:hAnsi="Times New Roman;serif"/>
          <w:b w:val="false"/>
          <w:color w:val="000000"/>
          <w:sz w:val="20"/>
        </w:rPr>
        <w:t>The balance of the TRA liability was $4,021 million and $3,542 million as of March 28, 2026 and December 31, 2025, respectively. As of March 28, 2026, $12 million was included in Accrued expenses and other current liabilities with the remainder in Tax receivable agreement liability on the unaudited Condensed Consolidated Balance Sheets. The Company’s TRA liability increased by $479 million due to the effects of the March 2026 Resale Offering during the three months ended March 28, 2026. The Company did not make any payment pursuant to the TRA or record a remeasurement adjustment during the three months ended March 28,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95250"/>
                <wp:effectExtent l="0" t="0" r="0" b="0"/>
                <wp:wrapNone/>
                <wp:docPr id="18" name="Frame18"/>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17</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8 - INCOME TAXES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Company’s effective income tax rate was 17.72% and 4.81% for the three months ended March 28, 2026 and March 29, 2025, respectively. The Company’s effective income tax rate can differ from the 21% U.S. federal statutory rate due to a number of factors, including the operating partnership, tax incentives, foreign rate differences, state income taxes, non-deductible expenses, and non-taxable income. The increase in the effective income tax rate as compared to prior year is primarily driven by the Reorganization in connection with the IPO, which resulted in a greater portion of income being subject to U.S. federal and state income taxes. Prior to the completion of the IPO, the Company executed the Reorganization, resulting in Medline Inc. becoming the sole general partner of Medline Holdings, with its sole material asset being a controlling equity interest in Medline Holdings. Following the IPO, Medline Inc. is required to pay U.S. federal and state income taxes as a corporation on its share of Medline Holdings’ taxable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28, 2026, the Company’s effective tax rate differed from the 21% U.S. federal statutory rate primarily due to its organizational structure and ownership composition, including non-controlling interests of Medline Holdings.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29, 2025, the Company’s effective tax rate differed from the 21% U.S. federal statutory rate primarily due to the operating partnership, tax incentives, foreign rate differences, state income taxes, non-deductible expenses, and non-taxable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Reorganization and the IPO, we also entered into a TRA with certain pre-IPO owners. See "Note 7 —Tax Receivable Agreement” for additional information. During the three months ended March 28, 2026 the Company recorded additional TRA liability of $479 million and a deferred tax asset of $294 million principally due to the effects of the March 2026 Resale Offering.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9 - COMMITMENTS AND CONTINGENCIES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Legal Matters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subject to various legal actions that are ordinary course and incidental to the business, including contract disputes, employment, workers’ compensation, product liability, auto liability, regulatory and other matters. The Company maintains insurance coverage for employment, product liability, workers’ compensation and other personal injury litigation matters, subject to policy limits, applicable deductibles and insurer solvency. The Company establishes reserves from time to time based upon periodic assessment of the potential outcomes of pending matters.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Starting in January 2019, the Company was named as a defendant in mass tort litigation in Cook County, Illinois involving claims by approximately 380 plaintiffs that allege personal injuries associated with the Company’s ethylene oxide activities in Lake County, Illinois. In October 2023, the Company agreed to settlement with all but 5 existing plaintiffs, which was finalized in March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actively pursuing litigation with its excess insurance carriers related to their obligations to reimburse the Company for substantially all unreimbursed settlement payments in connection with the lawsuits described above. The Company has not recorded a receivable for expected recoveries of the remaining settlement payments from excess insurance carriers as of March 28,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May 2023, the Company received a letter from the San Joaquin County District Attorney’s Office, in cooperation with certain other California District Attorneys, notifying the Company of an investigation into alleged violations with respect to the Company’s management and disposal of hazardous materials, hazardous waste, universal waste, and medical waste at its California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95250"/>
                <wp:effectExtent l="0" t="0" r="0" b="0"/>
                <wp:wrapNone/>
                <wp:docPr id="19" name="Frame19"/>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18</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9 - COMMITMENTS AND CONTINGENCIES (Continued)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been in discussions with the District Attorneys’ Offices to resolve the matter. The Company has reached an agreement in principle on a proposed resolution, and the parties are in the process of finalizing and filing court documentation, including a stipulated judgment, for the consideration of the Superior Court of the State of California for the County of San Joaquin. The proposed resolution is expected to include aggregate payments of approximately $900,000, consisting of a civil penalty of $750,000 and reimbursement of certain investigation-related costs of $150,000. The settlement also includes certain injunctive relief, including requirements that the Company conduct waste audits and provide status updates for a specified number of years. The Company cannot currently predict the timing of filing and entry of the proposed judgment.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Based on current knowledge and the advice of legal counsel, management believes that the reserve as of March 28, 2026 for other pending matters considered probable of gain or loss contingencies is sufficient. In addition, management believes that other currently pending matters are not reasonably likely to result in a material loss, as payment of the amounts claimed is remote, the claims are insignificant, individually and in the aggregate, or the claims are expected to be adequately covered by insurance. The Company is of the opinion that, although the outcome of any such legal proceedings cannot be predicted with any certainty, the ultimate liability, if any, will not have a material adverse effect on the Company’s unaudited condensed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Unconditional purchase obligations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Unconditional purchase obligations are defined as agreements to purchase goods or services that are enforceable and legally binding (non-cancelable, or cancelable only in certain circumstances) and that specify all significant terms, including fixed or minimum quantities to be purchased, fixed, minimum, or variable price provisions, and the approximate timing of the transaction. In the normal course of business, the Company enters into arrangements with vendors that supply goods or services. These arrangements can include unconditional purchase obligations and commitments. Payments made under the unconditional purchase obligations were $42 million and $49 million for the three months ended March 28, 2026, and March 29, 2025, respectively</w:t>
      </w:r>
      <w:r>
        <w:rPr>
          <w:rFonts w:ascii="Times New Roman;serif" w:hAnsi="Times New Roman;serif"/>
          <w:b/>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March 28, 2026, future payments related to commitments for the remainder of fiscal year 2026 and over the next four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years and thereafter are as follows:</w:t>
      </w:r>
    </w:p>
    <w:p>
      <w:pPr>
        <w:pStyle w:val="TextBody"/>
        <w:bidi w:val="0"/>
        <w:spacing w:before="0" w:after="0"/>
        <w:jc w:val="both"/>
        <w:rPr/>
      </w:pPr>
      <w:r>
        <w:rPr/>
      </w:r>
    </w:p>
    <w:tbl>
      <w:tblPr>
        <w:tblW w:w="1760" w:type="dxa"/>
        <w:jc w:val="left"/>
        <w:tblInd w:w="0" w:type="dxa"/>
        <w:tblLayout w:type="fixed"/>
        <w:tblCellMar>
          <w:top w:w="28" w:type="dxa"/>
          <w:left w:w="28" w:type="dxa"/>
          <w:bottom w:w="28" w:type="dxa"/>
          <w:right w:w="28" w:type="dxa"/>
        </w:tblCellMar>
      </w:tblPr>
      <w:tblGrid>
        <w:gridCol w:w="358"/>
        <w:gridCol w:w="315"/>
        <w:gridCol w:w="316"/>
        <w:gridCol w:w="196"/>
        <w:gridCol w:w="421"/>
        <w:gridCol w:w="154"/>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7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10 - FAIR VALUE MEASUREMENTS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descriptions of the valuation methods and assumptions used by the Company to estimate the fair values of investments apply to all investments held directly by the Company:</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Interest Rate Contracts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uses interest rate swaps and interest rate caps to manage its interest rate risk. The valuation of these instruments is determined by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95250"/>
                <wp:effectExtent l="0" t="0" r="0" b="0"/>
                <wp:wrapNone/>
                <wp:docPr id="20" name="Frame20"/>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19</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10 - FAIR VALUE MEASUREMENTS (Continued)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incorporates credit valuation adjustments to appropriately reflect both the Company’s own nonperformance risk and the respective counterparty’s nonperformance risk in certain fair value measurements. Although the Company has determined that the majority of the inputs used to value the derivatives utilize Level 2 of the fair value hierarchy, the credit valuation adjustments associated with the derivatives utilize Level 3 inputs, such as estimates of current credit spreads to evaluate the likelihood of default by the Company and its counterparties. The Company has determined that the significance of the impact of the credit valuation adjustments made to the derivative contracts, which determination was based on the fair value of each individual contract, was not significant to the overall valuation. As a result, all of the derivatives held as of March 28, 2026 and December 31, 2025 were classified as Level 2 of the fair value hierarchy.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See Note 11—Derivatives and Hedging Activities Risk Management for additional information regarding interest rate contracts.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Acquisition-Related Contingent Consideration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recorded payments related to acquisition-related contingent consideration that required fair value measurement every reporting period. The fair value of the contingent payments was reported as the present value of the expected amount to settle the obligation using discounted cash flow techniques which included significant assumptions. The significant unobservable inputs used in the determination of the fair value of the contingent consideration are classified as Level 3, which is unchanged from the classification as of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Assets and liabilities measured at fair value on a recurring basis are summarized below:</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59"/>
        <w:gridCol w:w="542"/>
        <w:gridCol w:w="532"/>
        <w:gridCol w:w="751"/>
        <w:gridCol w:w="1557"/>
        <w:gridCol w:w="417"/>
        <w:gridCol w:w="109"/>
        <w:gridCol w:w="109"/>
        <w:gridCol w:w="109"/>
        <w:gridCol w:w="415"/>
        <w:gridCol w:w="860"/>
        <w:gridCol w:w="231"/>
        <w:gridCol w:w="109"/>
        <w:gridCol w:w="109"/>
        <w:gridCol w:w="109"/>
        <w:gridCol w:w="589"/>
        <w:gridCol w:w="1223"/>
        <w:gridCol w:w="330"/>
        <w:gridCol w:w="109"/>
        <w:gridCol w:w="109"/>
        <w:gridCol w:w="109"/>
        <w:gridCol w:w="279"/>
        <w:gridCol w:w="510"/>
        <w:gridCol w:w="229"/>
      </w:tblGrid>
      <w:tr>
        <w:trPr/>
        <w:tc>
          <w:tcPr>
            <w:tcW w:w="75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1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March 28, 2026</w:t>
            </w:r>
          </w:p>
        </w:tc>
      </w:tr>
      <w:tr>
        <w:trPr/>
        <w:tc>
          <w:tcPr>
            <w:tcW w:w="1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Basis of fair value measurement</w:t>
            </w:r>
          </w:p>
        </w:tc>
      </w:tr>
      <w:tr>
        <w:trPr/>
        <w:tc>
          <w:tcPr>
            <w:tcW w:w="183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2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Quoted prices in active markets for identical assets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pPr>
            <w:r>
              <w:rPr>
                <w:rFonts w:ascii="Times New Roman;serif" w:hAnsi="Times New Roman;serif"/>
                <w:b w:val="false"/>
                <w:sz w:val="18"/>
              </w:rPr>
              <w:br/>
            </w:r>
            <w:r>
              <w:rPr>
                <w:color w:val="000000"/>
              </w:rPr>
              <w:t>   </w:t>
            </w:r>
            <w:r>
              <w:rPr>
                <w:rFonts w:ascii="Times New Roman;serif" w:hAnsi="Times New Roman;serif"/>
                <w:b w:val="false"/>
                <w:color w:val="000000"/>
                <w:sz w:val="18"/>
              </w:rPr>
              <w:t xml:space="preserve">Other observable inputs </w:t>
              <w:br/>
              <w:t>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Significant unobservable inputs (Level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Carrying value</w:t>
            </w:r>
          </w:p>
        </w:tc>
      </w:tr>
      <w:tr>
        <w:trPr/>
        <w:tc>
          <w:tcPr>
            <w:tcW w:w="18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u w:val="single"/>
              </w:rPr>
            </w:pPr>
            <w:r>
              <w:rPr>
                <w:rFonts w:ascii="Times New Roman;serif" w:hAnsi="Times New Roman;serif"/>
                <w:b/>
                <w:color w:val="000000"/>
                <w:sz w:val="18"/>
                <w:u w:val="single"/>
              </w:rPr>
              <w:t>Financial assets</w:t>
            </w:r>
          </w:p>
        </w:tc>
        <w:tc>
          <w:tcPr>
            <w:tcW w:w="2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Derivative Assets</w:t>
            </w:r>
          </w:p>
        </w:tc>
        <w:tc>
          <w:tcPr>
            <w:tcW w:w="2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contracts (hedge)</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vAlign w:val="center"/>
          </w:tcPr>
          <w:p>
            <w:pPr>
              <w:pStyle w:val="TableContents"/>
              <w:bidi w:val="0"/>
              <w:spacing w:before="0" w:after="283"/>
              <w:jc w:val="left"/>
              <w:rPr>
                <w:sz w:val="4"/>
                <w:szCs w:val="4"/>
              </w:rPr>
            </w:pPr>
            <w:r>
              <w:rPr>
                <w:sz w:val="4"/>
                <w:szCs w:val="4"/>
              </w:rPr>
            </w:r>
          </w:p>
        </w:tc>
        <w:tc>
          <w:tcPr>
            <w:tcW w:w="2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1833" w:type="dxa"/>
            <w:gridSpan w:val="3"/>
            <w:tcBorders/>
            <w:vAlign w:val="center"/>
          </w:tcPr>
          <w:p>
            <w:pPr>
              <w:pStyle w:val="TableContents"/>
              <w:bidi w:val="0"/>
              <w:spacing w:before="0" w:after="283"/>
              <w:jc w:val="left"/>
              <w:rPr>
                <w:sz w:val="4"/>
                <w:szCs w:val="4"/>
              </w:rPr>
            </w:pPr>
            <w:r>
              <w:rPr>
                <w:sz w:val="4"/>
                <w:szCs w:val="4"/>
              </w:rPr>
            </w:r>
          </w:p>
        </w:tc>
        <w:tc>
          <w:tcPr>
            <w:tcW w:w="2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18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assets at fair value</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u w:val="single"/>
              </w:rPr>
            </w:pPr>
            <w:r>
              <w:rPr>
                <w:rFonts w:ascii="Times New Roman;serif" w:hAnsi="Times New Roman;serif"/>
                <w:b/>
                <w:color w:val="000000"/>
                <w:sz w:val="18"/>
                <w:u w:val="single"/>
              </w:rPr>
              <w:t>Financial liabilities</w:t>
            </w:r>
          </w:p>
        </w:tc>
        <w:tc>
          <w:tcPr>
            <w:tcW w:w="27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vAlign w:val="center"/>
          </w:tcPr>
          <w:p>
            <w:pPr>
              <w:pStyle w:val="TableContents"/>
              <w:bidi w:val="0"/>
              <w:spacing w:before="0" w:after="283"/>
              <w:jc w:val="left"/>
              <w:rPr>
                <w:sz w:val="4"/>
                <w:szCs w:val="4"/>
              </w:rPr>
            </w:pPr>
            <w:r>
              <w:rPr>
                <w:sz w:val="4"/>
                <w:szCs w:val="4"/>
              </w:rPr>
            </w:r>
          </w:p>
        </w:tc>
        <w:tc>
          <w:tcPr>
            <w:tcW w:w="2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1833" w:type="dxa"/>
            <w:gridSpan w:val="3"/>
            <w:tcBorders/>
            <w:vAlign w:val="center"/>
          </w:tcPr>
          <w:p>
            <w:pPr>
              <w:pStyle w:val="TableContents"/>
              <w:bidi w:val="0"/>
              <w:spacing w:before="0" w:after="283"/>
              <w:jc w:val="left"/>
              <w:rPr>
                <w:sz w:val="4"/>
                <w:szCs w:val="4"/>
              </w:rPr>
            </w:pPr>
            <w:r>
              <w:rPr>
                <w:sz w:val="4"/>
                <w:szCs w:val="4"/>
              </w:rPr>
            </w:r>
          </w:p>
        </w:tc>
        <w:tc>
          <w:tcPr>
            <w:tcW w:w="2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18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 liability</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liabilities at fair value</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59"/>
        <w:gridCol w:w="542"/>
        <w:gridCol w:w="532"/>
        <w:gridCol w:w="751"/>
        <w:gridCol w:w="1557"/>
        <w:gridCol w:w="417"/>
        <w:gridCol w:w="109"/>
        <w:gridCol w:w="109"/>
        <w:gridCol w:w="109"/>
        <w:gridCol w:w="415"/>
        <w:gridCol w:w="860"/>
        <w:gridCol w:w="231"/>
        <w:gridCol w:w="109"/>
        <w:gridCol w:w="109"/>
        <w:gridCol w:w="109"/>
        <w:gridCol w:w="589"/>
        <w:gridCol w:w="1223"/>
        <w:gridCol w:w="330"/>
        <w:gridCol w:w="109"/>
        <w:gridCol w:w="109"/>
        <w:gridCol w:w="109"/>
        <w:gridCol w:w="279"/>
        <w:gridCol w:w="510"/>
        <w:gridCol w:w="229"/>
      </w:tblGrid>
      <w:tr>
        <w:trPr/>
        <w:tc>
          <w:tcPr>
            <w:tcW w:w="75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1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1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Basis of fair value measurement</w:t>
            </w:r>
          </w:p>
        </w:tc>
      </w:tr>
      <w:tr>
        <w:trPr/>
        <w:tc>
          <w:tcPr>
            <w:tcW w:w="183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2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Quoted prices in active markets for identical assets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pPr>
            <w:r>
              <w:rPr>
                <w:rFonts w:ascii="Times New Roman;serif" w:hAnsi="Times New Roman;serif"/>
                <w:b w:val="false"/>
                <w:sz w:val="18"/>
              </w:rPr>
              <w:br/>
            </w:r>
            <w:r>
              <w:rPr>
                <w:color w:val="000000"/>
              </w:rPr>
              <w:t>   </w:t>
            </w:r>
            <w:r>
              <w:rPr>
                <w:rFonts w:ascii="Times New Roman;serif" w:hAnsi="Times New Roman;serif"/>
                <w:b w:val="false"/>
                <w:color w:val="000000"/>
                <w:sz w:val="18"/>
              </w:rPr>
              <w:t xml:space="preserve">Other observable inputs </w:t>
              <w:br/>
              <w:t>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Significant unobservable inputs (Level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Carrying value</w:t>
            </w:r>
          </w:p>
        </w:tc>
      </w:tr>
      <w:tr>
        <w:trPr/>
        <w:tc>
          <w:tcPr>
            <w:tcW w:w="18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u w:val="single"/>
              </w:rPr>
            </w:pPr>
            <w:r>
              <w:rPr>
                <w:rFonts w:ascii="Times New Roman;serif" w:hAnsi="Times New Roman;serif"/>
                <w:b/>
                <w:color w:val="000000"/>
                <w:sz w:val="18"/>
                <w:u w:val="single"/>
              </w:rPr>
              <w:t>Financial assets</w:t>
            </w:r>
          </w:p>
        </w:tc>
        <w:tc>
          <w:tcPr>
            <w:tcW w:w="2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Derivative Assets</w:t>
            </w:r>
          </w:p>
        </w:tc>
        <w:tc>
          <w:tcPr>
            <w:tcW w:w="2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contracts (hedge)</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assets at fair value</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u w:val="single"/>
              </w:rPr>
            </w:pPr>
            <w:r>
              <w:rPr>
                <w:rFonts w:ascii="Times New Roman;serif" w:hAnsi="Times New Roman;serif"/>
                <w:b/>
                <w:color w:val="000000"/>
                <w:sz w:val="18"/>
                <w:u w:val="single"/>
              </w:rPr>
              <w:t>Financial liabilities</w:t>
            </w:r>
          </w:p>
        </w:tc>
        <w:tc>
          <w:tcPr>
            <w:tcW w:w="27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 liability</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liabilities at fair value</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95250"/>
                <wp:effectExtent l="0" t="0" r="0" b="0"/>
                <wp:wrapNone/>
                <wp:docPr id="21" name="Frame21"/>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20</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10 - FAIR VALUE MEASUREMENTS (Continued)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Equity investments without readily determinable fair values, unless measured using the equity method of accounting, are measured at cost, less impairments. When applicable, the Company also adjusts the carrying values of such equity investments for observable prices in orderly transactions for an identical or similar investment of the same issuer. These investments are included in Other long-term assets in the unaudited Condensed Consolidated Balance Sheets and are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11 - DERIVATIVES AND HEDGING ACTIVITIES RISK MANAGEMENT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Risk Management Objective of Using Derivatives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credit risk and foreign currency exchange risk primarily by managing the amount, sources, and duration of its assets and liabilities and the use of derivative financial instruments. Specifically, the Company enters into derivative financial instruments to manage exposures that arise from business activities that result in the receipt or payment of future known and uncertain cash amounts, the value of which are determined by interest rates or foreign currency exchange rates. The Company’s derivative financial instruments are used to manage differences in the amount, timing, and duration of the Company’s known or expected cash receipts and its known or expected cash payments principally related to the Company’s borrowings and acquisitions.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 xml:space="preserve">Cash Flow Hedges of Interest Rate Risk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objectives in using interest rate derivatives are to add stability to interest expense and to manage its exposure to interest rate movements. To accomplish these objectives, the Company primarily uses interest rate swaps and caps as part of its interest rate risk management strategy. The Company designates certain of its interest rate derivatives as hedging instruments in cash flow hedges. Interest rate swaps designated as cash flow hedges involve the receipt of variable amounts from a counterparty in exchange for the Company making fixed-rate payments over the life of the agreements without exchange of the underlying notional amount. Interest rate caps designated as cash flow hedges involve the receipt of variable amounts from a counterparty if interest rates rise above the strike rate on the contract in exchange for a premium. During the three months ended March 28, 2026 and March 29, 2025, such derivatives were used to hedge the variable cash flows associated with existing variable-rate debt.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Amounts reported in Accumulated other comprehensive income (loss) related to derivatives will be reclassified to Interest expense, net, as interest payments are made on the Company’s variable-rate debt. The Company estimates that $31 million will be reclassified as a decrease to interest expense within one year after March 28,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notional amounts of outstanding interest rate derivatives are summarized as follows: </w:t>
      </w:r>
    </w:p>
    <w:p>
      <w:pPr>
        <w:pStyle w:val="TextBody"/>
        <w:bidi w:val="0"/>
        <w:spacing w:before="0" w:after="0"/>
        <w:jc w:val="both"/>
        <w:rPr/>
      </w:pPr>
      <w:r>
        <w:rPr/>
      </w:r>
    </w:p>
    <w:tbl>
      <w:tblPr>
        <w:tblW w:w="9282" w:type="dxa"/>
        <w:jc w:val="left"/>
        <w:tblInd w:w="0" w:type="dxa"/>
        <w:tblLayout w:type="fixed"/>
        <w:tblCellMar>
          <w:top w:w="28" w:type="dxa"/>
          <w:left w:w="28" w:type="dxa"/>
          <w:bottom w:w="28" w:type="dxa"/>
          <w:right w:w="28" w:type="dxa"/>
        </w:tblCellMar>
      </w:tblPr>
      <w:tblGrid>
        <w:gridCol w:w="810"/>
        <w:gridCol w:w="710"/>
        <w:gridCol w:w="715"/>
        <w:gridCol w:w="255"/>
        <w:gridCol w:w="255"/>
        <w:gridCol w:w="256"/>
        <w:gridCol w:w="109"/>
        <w:gridCol w:w="109"/>
        <w:gridCol w:w="109"/>
        <w:gridCol w:w="429"/>
        <w:gridCol w:w="429"/>
        <w:gridCol w:w="431"/>
        <w:gridCol w:w="138"/>
        <w:gridCol w:w="138"/>
        <w:gridCol w:w="138"/>
        <w:gridCol w:w="349"/>
        <w:gridCol w:w="349"/>
        <w:gridCol w:w="351"/>
        <w:gridCol w:w="109"/>
        <w:gridCol w:w="109"/>
        <w:gridCol w:w="109"/>
        <w:gridCol w:w="429"/>
        <w:gridCol w:w="429"/>
        <w:gridCol w:w="431"/>
        <w:gridCol w:w="164"/>
        <w:gridCol w:w="164"/>
        <w:gridCol w:w="164"/>
        <w:gridCol w:w="320"/>
        <w:gridCol w:w="320"/>
        <w:gridCol w:w="454"/>
      </w:tblGrid>
      <w:tr>
        <w:trPr/>
        <w:tc>
          <w:tcPr>
            <w:tcW w:w="8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March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Notional amount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Notional amount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Maturity date</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Designated cash flow hedges:</w:t>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USD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Dec'2026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Dec'2026</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caps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USD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Dec'2026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Dec'2026</w:t>
            </w:r>
          </w:p>
        </w:tc>
      </w:tr>
      <w:tr>
        <w:trPr/>
        <w:tc>
          <w:tcPr>
            <w:tcW w:w="2235"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235"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235"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235"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entered into interest rate caps with notional value of $1,000 million in 2023, which took effect on December 31, 2025 and mature on December 31, 2026. All the interest rate contracts are designated as hedges for accounting purposes.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Based on contractual terms, the notional amounts of interest rate swaps and interest rate caps each decreased in increments of $500 million on December 31, 2025 and 2024 respectively.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95250"/>
                <wp:effectExtent l="0" t="0" r="0" b="0"/>
                <wp:wrapNone/>
                <wp:docPr id="22" name="Frame22"/>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21</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11 - DERIVATIVES AND HEDGING ACTIVITIES RISK MANAGEMENT (Continued)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Gains and Losses on Hedging Instruments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presents the effect of cash flow hedge accounting on Accumulated other comprehensive income (loss) (“AOCI”) for each reporting period:</w:t>
      </w:r>
    </w:p>
    <w:tbl>
      <w:tblPr>
        <w:tblW w:w="10205" w:type="dxa"/>
        <w:jc w:val="left"/>
        <w:tblInd w:w="0" w:type="dxa"/>
        <w:tblLayout w:type="fixed"/>
        <w:tblCellMar>
          <w:top w:w="28" w:type="dxa"/>
          <w:left w:w="28" w:type="dxa"/>
          <w:bottom w:w="28" w:type="dxa"/>
          <w:right w:w="28" w:type="dxa"/>
        </w:tblCellMar>
      </w:tblPr>
      <w:tblGrid>
        <w:gridCol w:w="856"/>
        <w:gridCol w:w="742"/>
        <w:gridCol w:w="744"/>
        <w:gridCol w:w="601"/>
        <w:gridCol w:w="601"/>
        <w:gridCol w:w="602"/>
        <w:gridCol w:w="109"/>
        <w:gridCol w:w="109"/>
        <w:gridCol w:w="109"/>
        <w:gridCol w:w="358"/>
        <w:gridCol w:w="358"/>
        <w:gridCol w:w="360"/>
        <w:gridCol w:w="109"/>
        <w:gridCol w:w="109"/>
        <w:gridCol w:w="109"/>
        <w:gridCol w:w="109"/>
        <w:gridCol w:w="109"/>
        <w:gridCol w:w="109"/>
        <w:gridCol w:w="381"/>
        <w:gridCol w:w="381"/>
        <w:gridCol w:w="382"/>
        <w:gridCol w:w="109"/>
        <w:gridCol w:w="306"/>
        <w:gridCol w:w="473"/>
        <w:gridCol w:w="170"/>
        <w:gridCol w:w="109"/>
        <w:gridCol w:w="109"/>
        <w:gridCol w:w="109"/>
        <w:gridCol w:w="278"/>
        <w:gridCol w:w="551"/>
        <w:gridCol w:w="155"/>
        <w:gridCol w:w="109"/>
        <w:gridCol w:w="109"/>
        <w:gridCol w:w="109"/>
        <w:gridCol w:w="162"/>
      </w:tblGrid>
      <w:tr>
        <w:trPr/>
        <w:tc>
          <w:tcPr>
            <w:tcW w:w="85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42"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1800" w:type="dxa"/>
            <w:gridSpan w:val="10"/>
            <w:tcBorders/>
          </w:tcPr>
          <w:p>
            <w:pPr>
              <w:pStyle w:val="TableContents"/>
              <w:bidi w:val="0"/>
              <w:spacing w:before="0" w:after="283"/>
              <w:jc w:val="left"/>
              <w:rPr>
                <w:sz w:val="4"/>
                <w:szCs w:val="4"/>
              </w:rPr>
            </w:pPr>
            <w:r>
              <w:rPr>
                <w:sz w:val="4"/>
                <w:szCs w:val="4"/>
              </w:rPr>
            </w:r>
          </w:p>
        </w:tc>
      </w:tr>
      <w:tr>
        <w:trPr/>
        <w:tc>
          <w:tcPr>
            <w:tcW w:w="2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489" w:type="dxa"/>
            <w:gridSpan w:val="4"/>
            <w:tcBorders/>
          </w:tcPr>
          <w:p>
            <w:pPr>
              <w:pStyle w:val="TableContents"/>
              <w:bidi w:val="0"/>
              <w:spacing w:before="0" w:after="283"/>
              <w:jc w:val="left"/>
              <w:rPr>
                <w:sz w:val="4"/>
                <w:szCs w:val="4"/>
              </w:rPr>
            </w:pPr>
            <w:r>
              <w:rPr>
                <w:sz w:val="4"/>
                <w:szCs w:val="4"/>
              </w:rPr>
            </w:r>
          </w:p>
        </w:tc>
      </w:tr>
      <w:tr>
        <w:trPr/>
        <w:tc>
          <w:tcPr>
            <w:tcW w:w="2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March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March 29,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42" w:type="dxa"/>
            <w:gridSpan w:val="3"/>
            <w:vMerge w:val="restart"/>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Gain (loss) recognized in AOCI </w:t>
            </w:r>
          </w:p>
        </w:tc>
        <w:tc>
          <w:tcPr>
            <w:tcW w:w="1804" w:type="dxa"/>
            <w:gridSpan w:val="3"/>
            <w:vMerge w:val="restart"/>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Included in effectiveness testing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42"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804"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caps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42"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8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Excluded in effectiveness testing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caps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42"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42" w:type="dxa"/>
            <w:gridSpan w:val="3"/>
            <w:vMerge w:val="restart"/>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reclassified from AOCI into earnings</w:t>
            </w:r>
          </w:p>
        </w:tc>
        <w:tc>
          <w:tcPr>
            <w:tcW w:w="1804" w:type="dxa"/>
            <w:gridSpan w:val="3"/>
            <w:vMerge w:val="restart"/>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Included in effectiveness testing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42"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804"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caps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42"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8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Excluded in effectiveness testing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caps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change in AOCI</w:t>
            </w:r>
          </w:p>
        </w:tc>
        <w:tc>
          <w:tcPr>
            <w:tcW w:w="1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gain (loss) reclassed from AOCI into earnings is recorded to Interest expense, net in unaudited Condensed Consolidated Statements of Comprehensive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Cash flows from derivatives designated as hedges are classified in the same line item as the cash flows of the hedged transaction within operating activities.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Derivative Assets and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records the designated interest rate derivatives at fair value in the unaudited Condensed Consolidated Balance Sheets. The respective assets and liabilities are generally classified as short-term or long-term based on the maturity dates of the derivatives.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summarizes the classification and fair value of the derivatives for each reporting period:</w:t>
      </w:r>
    </w:p>
    <w:p>
      <w:pPr>
        <w:pStyle w:val="TextBody"/>
        <w:bidi w:val="0"/>
        <w:spacing w:before="0" w:after="0"/>
        <w:jc w:val="both"/>
        <w:rPr/>
      </w:pPr>
      <w:r>
        <w:rPr/>
      </w:r>
    </w:p>
    <w:tbl>
      <w:tblPr>
        <w:tblW w:w="8012" w:type="dxa"/>
        <w:jc w:val="left"/>
        <w:tblInd w:w="0" w:type="dxa"/>
        <w:tblLayout w:type="fixed"/>
        <w:tblCellMar>
          <w:top w:w="28" w:type="dxa"/>
          <w:left w:w="28" w:type="dxa"/>
          <w:bottom w:w="28" w:type="dxa"/>
          <w:right w:w="28" w:type="dxa"/>
        </w:tblCellMar>
      </w:tblPr>
      <w:tblGrid>
        <w:gridCol w:w="988"/>
        <w:gridCol w:w="869"/>
        <w:gridCol w:w="872"/>
        <w:gridCol w:w="109"/>
        <w:gridCol w:w="109"/>
        <w:gridCol w:w="109"/>
        <w:gridCol w:w="504"/>
        <w:gridCol w:w="504"/>
        <w:gridCol w:w="506"/>
        <w:gridCol w:w="109"/>
        <w:gridCol w:w="109"/>
        <w:gridCol w:w="109"/>
        <w:gridCol w:w="383"/>
        <w:gridCol w:w="648"/>
        <w:gridCol w:w="213"/>
        <w:gridCol w:w="109"/>
        <w:gridCol w:w="109"/>
        <w:gridCol w:w="109"/>
        <w:gridCol w:w="443"/>
        <w:gridCol w:w="750"/>
        <w:gridCol w:w="351"/>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Designated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March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27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caps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Total designated 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200" w:after="283"/>
        <w:jc w:val="both"/>
        <w:rPr>
          <w:rFonts w:ascii="Times New Roman;serif" w:hAnsi="Times New Roman;serif"/>
          <w:b/>
          <w:color w:val="000000"/>
          <w:sz w:val="20"/>
        </w:rPr>
      </w:pPr>
      <w:r>
        <w:rPr>
          <w:rFonts w:ascii="Times New Roman;serif" w:hAnsi="Times New Roman;serif"/>
          <w:b/>
          <w:color w:val="000000"/>
          <w:sz w:val="20"/>
        </w:rPr>
        <w:t xml:space="preserve">NOTE 12 - STOCKHOLDERS’ EQUITY, MEZZANINE EQUITY AND PARTNERS’ CAPITAL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18, 2025, the Company completed its IPO and executed the Reorganization that impacted its capital structure. See Note 1—Nature of Business and Significant Accounting Policies for additional information regarding the IPO and Reorganization.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Equity Structure Prior to IPO and Reorganization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Partners’ Capital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Prior to the Reorganization and the IPO, Medline Holdings had three classes of authorized units: Class A Units, Class B CUPI Units, and Class B Units.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95250"/>
                <wp:effectExtent l="0" t="0" r="0" b="0"/>
                <wp:wrapNone/>
                <wp:docPr id="23" name="Frame23"/>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22</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12 - STOCKHOLDERS’ EQUITY, MEZZANINE EQUITY AND PARTNERS’ CAPITAL (Continued)</w:t>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Voting rights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holders of all three classes of units were limited partners and did not have voting rights (although certain limited partners had certain consent rights as set forth in the Medline Holdings GP, LLC’s Limited Liability Agreement (the “GP LLC Agreement”)). Medline Holdings GP, LLC was the general partner of Medline Holdings. Medline Holdings GP, LLC did not hold any units, and it was authorized to take any action and cause Medline Holdings to take any action, subject to the terms of LP Agreement and the GP LLC Agreement.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Distributions and liquidations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both distributions (other than tax distributions) and liquidations, the Class A unit holders would receive 100% of the distributions until the Class A unit holders had received cumulative distributions equal to $1.00 per Class A unit.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Second, except for Operating Distributions (as defined in the LP Agreement), 100% of the remainder of the distributions following the distributions to the Class A Unit holders would be distributed to the holders of Class B CUPI Units until the holders of Class B CUPI Units received cumulative distributions equal to the catch-up amount for such units ($1.00 per Class B CUPI Unit).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Third, the remainder of the distributions would be distributed on a pro rata basis (based on the number of units held and subject to vesting and, with respect to Class B units, deemed unit prices) to the Class A Unit holders, the holders of Class B CUPI units, and the Class B Unit holders, subject to the LP Agreement. Net income and net loss of Medline Holdings was allocated in a manner similar to the foregoing distributions pursuant to the GP LLC Agreement.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Other rights and privileges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remaining rights and privileges of the holders of all three classes of units were identical.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Class A - Mezzanine Equity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Class A units held by members of management (the “Class A Mezzanine Units”) included a put right that permitted the holders to redeem 50% of their Class A units under conditions outside of the control of the Company. For the periods that management determined it was probable that the Class A Mezzanine Units would become redeemable, the Company had elected to carry the shares at the maximum redemption value, or fair value, in Mezzanine equity on the unaudited Condensed Consolidated Balance Sheets. During the fourth quarter of 2024, management determined that the redemption was no longer probable, and, therefore, no changes in redemption value were recorded, prospectively. The redemption rights terminated upon the IPO, and Class A Mezzanine Units were reclassed to permanent equity.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Stock-Based Compensation - Mezzanine Equity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Class B CUPI Units and Class B Units also included a put right that permitted holders to redeem 20% of matured Class B Units and 50% of Class B CUPI Units under conditions outside of the control of the Company. During the periods when redemption was probable, redeemable units were carried at redemption value, or current intrinsic value, in Mezzanine equity on the unaudited Condensed Consolidated Balance Sheets. During the fourth quarter of 2024, management determined that the redemption was no longer probable and, therefore, no changes in redemption value were recorded, prospectively. The redemption rights terminated upon the IPO, and the redeemable units were reclassed to permanent equity.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Equity Structure After IPO and Reorganization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amended and restated certificate of incorporation authorizes three classes of ownership interests: 50,000,000,000 shares of Class A common stock, par value $0.0001 per share, 50,000,000,000 shares of Class B common stock, par value $0.0001 per share, and 5,000,000,000 shares of Preferred stock, par value $0.0001 per share.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95250"/>
                <wp:effectExtent l="0" t="0" r="0" b="0"/>
                <wp:wrapNone/>
                <wp:docPr id="24" name="Frame24"/>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23</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12 - STOCKHOLDERS’ EQUITY, MEZZANINE EQUITY AND PARTNERS’ CAPITAL (Continued)</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Class A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Shares of Class A common stock have both voting and economic rights. Holders of Class A common stock are entitled to one vote for each share of Class A common stock held. Shares of Class A common stock are entitled to dividends and pro rata distribution of remaining available assets upon liquidation. Shares of Class A common stock do not have preemptive, subscription, redemption or conversion rights.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Class B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Shares of Class B common stock have voting but no economic rights. Holders of Class B common stock are entitled to one vote for each share of Class B common stock held. Shares of Class B common stock do not have any right to receive dividends or distribution upon liquidation.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shares of Class B common stock, together with the transfer of an identical number of Common Units, are convertible at the option of the holder into shares of Class A common stock on a one-for-one basis, subject to customary conversion rate adjustments for stock splits, stock dividends and reclassifications. Upon conversion, the shares of Class B common stock will be automatically canceled and no longer outstanding.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Preferred Stock</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authorized to issue, without the approval of its stockholders, one or more series of preferred stock. The Board may determine, with respect to any series of preferred stock, the powers, including voting powers, preferences and relative, participating, optional or other special rights.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Noncontrolling Interests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Noncontrolling interests represent Common Units and vested Incentive Units held by pre-IPO owners. These Common Units are not attributable to the controlling Class A common stock ownership of Medline Inc. The noncontrolling interests were accounted for as permanent equity on the unaudited Condensed Consolidated Balance Sheets. Net income is reduced by the portion of net income attributable to noncontrolling interests. The conversions into Class A common stock of Class B common stock and Common Units are considered equity transactions and will result in a change in ownership and reduce the amount recorded as noncontrolling interests and increase additional paid-in capital in the Company’s unaudited Condensed Consolidated Balance Sheets.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Accumulated other comprehensive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changes in accumulated other comprehensive income (loss), net of tax:</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16"/>
        <w:gridCol w:w="812"/>
        <w:gridCol w:w="741"/>
        <w:gridCol w:w="599"/>
        <w:gridCol w:w="1013"/>
        <w:gridCol w:w="335"/>
        <w:gridCol w:w="109"/>
        <w:gridCol w:w="109"/>
        <w:gridCol w:w="109"/>
        <w:gridCol w:w="565"/>
        <w:gridCol w:w="695"/>
        <w:gridCol w:w="314"/>
        <w:gridCol w:w="109"/>
        <w:gridCol w:w="109"/>
        <w:gridCol w:w="109"/>
        <w:gridCol w:w="359"/>
        <w:gridCol w:w="470"/>
        <w:gridCol w:w="201"/>
        <w:gridCol w:w="109"/>
        <w:gridCol w:w="109"/>
        <w:gridCol w:w="109"/>
        <w:gridCol w:w="573"/>
        <w:gridCol w:w="969"/>
        <w:gridCol w:w="462"/>
      </w:tblGrid>
      <w:tr>
        <w:trPr/>
        <w:tc>
          <w:tcPr>
            <w:tcW w:w="111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March 28, 2026</w:t>
            </w:r>
          </w:p>
        </w:tc>
      </w:tr>
      <w:tr>
        <w:trPr/>
        <w:tc>
          <w:tcPr>
            <w:tcW w:w="26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Unrealized Gain (Loss) on Derivative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Currency Translation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Retirement Plans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January 1, 2026</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before reclassifications</w:t>
            </w:r>
          </w:p>
        </w:tc>
        <w:tc>
          <w:tcPr>
            <w:tcW w:w="16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Amount reclassified to earnings</w:t>
            </w:r>
          </w:p>
        </w:tc>
        <w:tc>
          <w:tcPr>
            <w:tcW w:w="16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4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other comprehensive loss</w:t>
            </w:r>
          </w:p>
        </w:tc>
        <w:tc>
          <w:tcPr>
            <w:tcW w:w="16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4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Other comprehensive loss attributable to noncontrolling interests</w:t>
            </w:r>
          </w:p>
        </w:tc>
        <w:tc>
          <w:tcPr>
            <w:tcW w:w="16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4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March 28,2026</w:t>
            </w:r>
          </w:p>
        </w:tc>
        <w:tc>
          <w:tcPr>
            <w:tcW w:w="5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4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95250"/>
                <wp:effectExtent l="0" t="0" r="0" b="0"/>
                <wp:wrapNone/>
                <wp:docPr id="25" name="Frame25"/>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24</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12 - STOCKHOLDERS’ EQUITY, MEZZANINE EQUITY AND PARTNERS’ CAPITAL (Continued)</w:t>
      </w:r>
    </w:p>
    <w:tbl>
      <w:tblPr>
        <w:tblW w:w="10205" w:type="dxa"/>
        <w:jc w:val="left"/>
        <w:tblInd w:w="0" w:type="dxa"/>
        <w:tblLayout w:type="fixed"/>
        <w:tblCellMar>
          <w:top w:w="28" w:type="dxa"/>
          <w:left w:w="28" w:type="dxa"/>
          <w:bottom w:w="28" w:type="dxa"/>
          <w:right w:w="28" w:type="dxa"/>
        </w:tblCellMar>
      </w:tblPr>
      <w:tblGrid>
        <w:gridCol w:w="1036"/>
        <w:gridCol w:w="750"/>
        <w:gridCol w:w="682"/>
        <w:gridCol w:w="547"/>
        <w:gridCol w:w="1176"/>
        <w:gridCol w:w="306"/>
        <w:gridCol w:w="109"/>
        <w:gridCol w:w="109"/>
        <w:gridCol w:w="109"/>
        <w:gridCol w:w="429"/>
        <w:gridCol w:w="953"/>
        <w:gridCol w:w="240"/>
        <w:gridCol w:w="109"/>
        <w:gridCol w:w="109"/>
        <w:gridCol w:w="109"/>
        <w:gridCol w:w="373"/>
        <w:gridCol w:w="460"/>
        <w:gridCol w:w="209"/>
        <w:gridCol w:w="109"/>
        <w:gridCol w:w="109"/>
        <w:gridCol w:w="109"/>
        <w:gridCol w:w="590"/>
        <w:gridCol w:w="998"/>
        <w:gridCol w:w="475"/>
      </w:tblGrid>
      <w:tr>
        <w:trPr/>
        <w:tc>
          <w:tcPr>
            <w:tcW w:w="1036"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2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March 29, 2025</w:t>
            </w:r>
          </w:p>
        </w:tc>
      </w:tr>
      <w:tr>
        <w:trPr/>
        <w:tc>
          <w:tcPr>
            <w:tcW w:w="24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2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Unrealized Gain (Loss) on Derivative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Currency Translation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Retirement Plans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r>
      <w:tr>
        <w:trPr/>
        <w:tc>
          <w:tcPr>
            <w:tcW w:w="24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January 1, 2025</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before reclassifications</w:t>
            </w:r>
          </w:p>
        </w:tc>
        <w:tc>
          <w:tcPr>
            <w:tcW w:w="17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Amount reclassified to earnings</w:t>
            </w:r>
          </w:p>
        </w:tc>
        <w:tc>
          <w:tcPr>
            <w:tcW w:w="17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8" w:type="dxa"/>
            <w:gridSpan w:val="3"/>
            <w:tcBorders/>
            <w:vAlign w:val="center"/>
          </w:tcPr>
          <w:p>
            <w:pPr>
              <w:pStyle w:val="TableContents"/>
              <w:bidi w:val="0"/>
              <w:spacing w:before="0" w:after="283"/>
              <w:jc w:val="left"/>
              <w:rPr>
                <w:sz w:val="4"/>
                <w:szCs w:val="4"/>
              </w:rPr>
            </w:pPr>
            <w:r>
              <w:rPr>
                <w:sz w:val="4"/>
                <w:szCs w:val="4"/>
              </w:rPr>
            </w:r>
          </w:p>
        </w:tc>
        <w:tc>
          <w:tcPr>
            <w:tcW w:w="2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3" w:type="dxa"/>
            <w:gridSpan w:val="3"/>
            <w:tcBorders/>
            <w:vAlign w:val="center"/>
          </w:tcPr>
          <w:p>
            <w:pPr>
              <w:pStyle w:val="TableContents"/>
              <w:bidi w:val="0"/>
              <w:spacing w:before="0" w:after="283"/>
              <w:jc w:val="left"/>
              <w:rPr>
                <w:sz w:val="4"/>
                <w:szCs w:val="4"/>
              </w:rPr>
            </w:pPr>
            <w:r>
              <w:rPr>
                <w:sz w:val="4"/>
                <w:szCs w:val="4"/>
              </w:rPr>
            </w:r>
          </w:p>
        </w:tc>
      </w:tr>
      <w:tr>
        <w:trPr/>
        <w:tc>
          <w:tcPr>
            <w:tcW w:w="24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other comprehensive income (loss)</w:t>
            </w:r>
          </w:p>
        </w:tc>
        <w:tc>
          <w:tcPr>
            <w:tcW w:w="17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4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8" w:type="dxa"/>
            <w:gridSpan w:val="3"/>
            <w:tcBorders/>
            <w:vAlign w:val="center"/>
          </w:tcPr>
          <w:p>
            <w:pPr>
              <w:pStyle w:val="TableContents"/>
              <w:bidi w:val="0"/>
              <w:spacing w:before="0" w:after="283"/>
              <w:jc w:val="left"/>
              <w:rPr>
                <w:sz w:val="4"/>
                <w:szCs w:val="4"/>
              </w:rPr>
            </w:pPr>
            <w:r>
              <w:rPr>
                <w:sz w:val="4"/>
                <w:szCs w:val="4"/>
              </w:rPr>
            </w:r>
          </w:p>
        </w:tc>
        <w:tc>
          <w:tcPr>
            <w:tcW w:w="2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3" w:type="dxa"/>
            <w:gridSpan w:val="3"/>
            <w:tcBorders/>
            <w:vAlign w:val="center"/>
          </w:tcPr>
          <w:p>
            <w:pPr>
              <w:pStyle w:val="TableContents"/>
              <w:bidi w:val="0"/>
              <w:spacing w:before="0" w:after="283"/>
              <w:jc w:val="left"/>
              <w:rPr>
                <w:sz w:val="4"/>
                <w:szCs w:val="4"/>
              </w:rPr>
            </w:pPr>
            <w:r>
              <w:rPr>
                <w:sz w:val="4"/>
                <w:szCs w:val="4"/>
              </w:rPr>
            </w:r>
          </w:p>
        </w:tc>
      </w:tr>
      <w:tr>
        <w:trPr/>
        <w:tc>
          <w:tcPr>
            <w:tcW w:w="24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March 29,2025</w:t>
            </w:r>
          </w:p>
        </w:tc>
        <w:tc>
          <w:tcPr>
            <w:tcW w:w="5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11—Derivatives and Hedging Activities Risk Management for additional information regarding hedging activity.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 xml:space="preserve">NOTE 13 - STOCK-BASED COMPENSATION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records stock-based compensation expense as a component of selling, general and administrative expenses in the unaudited Condensed Consolidated Statements of Comprehensive Income. The following table presents the stock-based compensation expense for the three months ended March 28, 2026 and March 29, 2025:</w:t>
      </w:r>
    </w:p>
    <w:tbl>
      <w:tblPr>
        <w:tblW w:w="5168" w:type="dxa"/>
        <w:jc w:val="center"/>
        <w:tblInd w:w="0" w:type="dxa"/>
        <w:tblLayout w:type="fixed"/>
        <w:tblCellMar>
          <w:top w:w="28" w:type="dxa"/>
          <w:left w:w="28" w:type="dxa"/>
          <w:bottom w:w="28" w:type="dxa"/>
          <w:right w:w="28" w:type="dxa"/>
        </w:tblCellMar>
      </w:tblPr>
      <w:tblGrid>
        <w:gridCol w:w="365"/>
        <w:gridCol w:w="320"/>
        <w:gridCol w:w="320"/>
        <w:gridCol w:w="320"/>
        <w:gridCol w:w="320"/>
        <w:gridCol w:w="334"/>
        <w:gridCol w:w="109"/>
        <w:gridCol w:w="109"/>
        <w:gridCol w:w="109"/>
        <w:gridCol w:w="383"/>
        <w:gridCol w:w="649"/>
        <w:gridCol w:w="213"/>
        <w:gridCol w:w="109"/>
        <w:gridCol w:w="109"/>
        <w:gridCol w:w="109"/>
        <w:gridCol w:w="371"/>
        <w:gridCol w:w="628"/>
        <w:gridCol w:w="291"/>
      </w:tblGrid>
      <w:tr>
        <w:trPr/>
        <w:tc>
          <w:tcPr>
            <w:tcW w:w="36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97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r>
      <w:tr>
        <w:trPr/>
        <w:tc>
          <w:tcPr>
            <w:tcW w:w="1979"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March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March 29, 2025</w:t>
            </w:r>
          </w:p>
        </w:tc>
      </w:tr>
      <w:tr>
        <w:trPr/>
        <w:tc>
          <w:tcPr>
            <w:tcW w:w="100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100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100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100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100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100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100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100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100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100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100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100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Equity-classified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Liability-classified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100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tcPr>
          <w:p>
            <w:pPr>
              <w:pStyle w:val="TableContents"/>
              <w:bidi w:val="0"/>
              <w:spacing w:before="0" w:after="283"/>
              <w:jc w:val="left"/>
              <w:rPr>
                <w:sz w:val="4"/>
                <w:szCs w:val="4"/>
              </w:rPr>
            </w:pPr>
            <w:r>
              <w:rPr>
                <w:sz w:val="4"/>
                <w:szCs w:val="4"/>
              </w:rPr>
            </w:r>
          </w:p>
        </w:tc>
      </w:tr>
      <w:tr>
        <w:trPr/>
        <w:tc>
          <w:tcPr>
            <w:tcW w:w="100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Equity-classified awards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Prior to IPO and Reorganization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Medline Holdings had two classes of incentive units, Class B units and Class B CUPIs (“Holdings Incentive Units”) that were granted to certain employees and vested upon satisfaction of one or multiple market, performance, and/or service conditions of each award. In accordance with ASC 718, “Compensation - Stock Compensation” (“ASC 718”), all incentive units officially granted represent ownership interests and are classified as equity.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All of the Holdings Incentive Units included a put right that permitted the holders to redeem certain units under conditions outside of the control of the Company. The redemption rights terminated upon the IPO, and the redeemable units were reclassed to permanent equity. See Note 12—Stockholders’ Equity, Mezzanine Equity and Partners’ Capital</w:t>
      </w:r>
      <w:r>
        <w:rPr>
          <w:color w:val="000000"/>
        </w:rPr>
        <w:t xml:space="preserve"> </w:t>
      </w:r>
      <w:r>
        <w:rPr>
          <w:rFonts w:ascii="Times New Roman;serif" w:hAnsi="Times New Roman;serif"/>
          <w:b w:val="false"/>
          <w:color w:val="000000"/>
          <w:sz w:val="20"/>
        </w:rPr>
        <w:t>for additional information regarding mezzanine equity.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Class B CUPIs vested prior to 2025. The Class B units were subject to a five-year vesting period, with 20% of units vesting on each of the five anniversaries of the grant date. Total fair value of Class B units vested during the three months ended March 29, 2025 was $7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95250"/>
                <wp:effectExtent l="0" t="0" r="0" b="0"/>
                <wp:wrapNone/>
                <wp:docPr id="26" name="Frame26"/>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25</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13 - STOCK-BASED COMPENSATION (Continued)</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Post-IPO Awards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Reclassification of Holdings Incentive Units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IPO and Reorganization, the Holdings Incentive Unit awards issued prior to the IPO were reclassified as follows: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Continuing Unitholders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time-vesting and performance-vesting Class B units held by certain pre-IPO holders of Class B units (the “Continuing Unitholders”) were reclassified into vested Incentive Units, in the case of vested Class B units, and unvested Incentive Units, in the case of unvested Class B units, in Medline Holdings. These Incentive Units retain the vesting attributes of the Class B units reclassified, including original service period vesting start date. The Class B CUPIs were reclassified to vested Common Units in Medline Holdings. The fair value of Incentive Units was the same immediately prior to and after the reclassification.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Total fair value of Incentive Units vested during the three months ended March 28, 2026 was $4 million. As of March 28, 2026, there was $40 million of unrecognized compensation cost related to unvested Incentive Units, which is expected to be recognized on a graded or straight-line basis over a weighted-average period of 1.0 year. The following table summarizes the Incentive Units activity and related information for the three months ended March 28, 2026:</w:t>
      </w:r>
    </w:p>
    <w:p>
      <w:pPr>
        <w:pStyle w:val="TextBody"/>
        <w:bidi w:val="0"/>
        <w:spacing w:before="0" w:after="0"/>
        <w:jc w:val="both"/>
        <w:rPr/>
      </w:pPr>
      <w:r>
        <w:rPr/>
      </w:r>
    </w:p>
    <w:tbl>
      <w:tblPr>
        <w:tblW w:w="6827" w:type="dxa"/>
        <w:jc w:val="left"/>
        <w:tblInd w:w="0" w:type="dxa"/>
        <w:tblLayout w:type="fixed"/>
        <w:tblCellMar>
          <w:top w:w="28" w:type="dxa"/>
          <w:left w:w="28" w:type="dxa"/>
          <w:bottom w:w="28" w:type="dxa"/>
          <w:right w:w="28" w:type="dxa"/>
        </w:tblCellMar>
      </w:tblPr>
      <w:tblGrid>
        <w:gridCol w:w="949"/>
        <w:gridCol w:w="836"/>
        <w:gridCol w:w="839"/>
        <w:gridCol w:w="480"/>
        <w:gridCol w:w="481"/>
        <w:gridCol w:w="396"/>
        <w:gridCol w:w="109"/>
        <w:gridCol w:w="109"/>
        <w:gridCol w:w="109"/>
        <w:gridCol w:w="605"/>
        <w:gridCol w:w="1439"/>
        <w:gridCol w:w="475"/>
      </w:tblGrid>
      <w:tr>
        <w:trPr/>
        <w:tc>
          <w:tcPr>
            <w:tcW w:w="94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Incentive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Wtd. Avg. Grant Date Fair Value</w:t>
            </w:r>
          </w:p>
        </w:tc>
      </w:tr>
      <w:tr>
        <w:trPr/>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Unvested as of December 31, 2025</w:t>
            </w:r>
          </w:p>
        </w:tc>
        <w:tc>
          <w:tcPr>
            <w:tcW w:w="9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14,538,818 </w:t>
            </w:r>
          </w:p>
        </w:tc>
        <w:tc>
          <w:tcPr>
            <w:tcW w:w="3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5.86 </w:t>
            </w:r>
          </w:p>
        </w:tc>
        <w:tc>
          <w:tcPr>
            <w:tcW w:w="4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(457,480)</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8.15 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Unvested as of March 28, 2026</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14,081,338 </w:t>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5.78 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Exchanging Unitholders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Holdings Incentive Units and Class A units held by participants other than Continuing Unitholders (the “Exchanging Unitholders”) were exchanged for vested Class A common stock and RSUs, in the case of Class A units and Class B CUPIs, and vested Class A common stock, RSUs, RSAs, and options, in the case of Class B units, in the Company. The RSAs, RSUs, and options will vest according to the same vesting schedule as the corresponding Class B units, in respect of which they are being granted, except that no awards will vest until the later of the date that is 180 days following the IPO and the existing vesting date of the underlying Class B units. This modification resulted in the re-measurement of the awards in accordance with ASC 718. Total compensation cost for the modified awards equaled the grant date fair value of the pre-IPO awards, plus any incremental compensation cost measured at the modification date (i.e. the IPO date). The change in fair value of these awards prior to and after the reclassification was not material. The modification impacted 68 participants.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95250"/>
                <wp:effectExtent l="0" t="0" r="0" b="0"/>
                <wp:wrapNone/>
                <wp:docPr id="27" name="Frame27"/>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26</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13 - STOCK-BASED COMPENSATION (Continued)</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RSAs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Total fair value of RSAs vested during the three months ended March 28, 2026 was $1 million. As of March 28, 2026, there was $9 million of unrecognized compensation cost related to unvested RSAs, which is expected to be recognized on a graded or straight-line basis over a weighted-average period of 1.3 years. The following table summarizes the RSAs activity and related information for the three months ended March 28, 2026:</w:t>
      </w:r>
    </w:p>
    <w:p>
      <w:pPr>
        <w:pStyle w:val="TextBody"/>
        <w:bidi w:val="0"/>
        <w:spacing w:before="0" w:after="0"/>
        <w:jc w:val="both"/>
        <w:rPr/>
      </w:pPr>
      <w:r>
        <w:rPr/>
      </w:r>
    </w:p>
    <w:tbl>
      <w:tblPr>
        <w:tblW w:w="6523" w:type="dxa"/>
        <w:jc w:val="left"/>
        <w:tblInd w:w="0" w:type="dxa"/>
        <w:tblLayout w:type="fixed"/>
        <w:tblCellMar>
          <w:top w:w="28" w:type="dxa"/>
          <w:left w:w="28" w:type="dxa"/>
          <w:bottom w:w="28" w:type="dxa"/>
          <w:right w:w="28" w:type="dxa"/>
        </w:tblCellMar>
      </w:tblPr>
      <w:tblGrid>
        <w:gridCol w:w="949"/>
        <w:gridCol w:w="836"/>
        <w:gridCol w:w="839"/>
        <w:gridCol w:w="435"/>
        <w:gridCol w:w="436"/>
        <w:gridCol w:w="181"/>
        <w:gridCol w:w="109"/>
        <w:gridCol w:w="109"/>
        <w:gridCol w:w="109"/>
        <w:gridCol w:w="545"/>
        <w:gridCol w:w="1547"/>
        <w:gridCol w:w="428"/>
      </w:tblGrid>
      <w:tr>
        <w:trPr/>
        <w:tc>
          <w:tcPr>
            <w:tcW w:w="94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RSAs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Wtd. Avg. Grant Date Fair Value</w:t>
            </w:r>
          </w:p>
        </w:tc>
      </w:tr>
      <w:tr>
        <w:trPr/>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Unvested as of December 31, 2025</w:t>
            </w:r>
          </w:p>
        </w:tc>
        <w:tc>
          <w:tcPr>
            <w:tcW w:w="8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1,958,657 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4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29.00 </w:t>
            </w:r>
          </w:p>
        </w:tc>
        <w:tc>
          <w:tcPr>
            <w:tcW w:w="4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(41,050)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29.00 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Unvested as of March 28, 2026</w:t>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1,917,607 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29.00 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RSUs and Performance Stock Units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28, 2026, RSUs and Performance Stock Units (“PSUs”) were granted to certain employees. The grant date fair value of RSUs and PSUs is based on the fair market value of the Company’s underlying common stock at the grant date. The RSUs vest over one to five years contingent upon employment on the vesting date. The PSUs generally vest over four years contingent upon achievement of certain performance conditions and employment on the vesting date. The RSU expense is recognized using a graded vesting method or straight-line method. The PSU expense is recognized using a graded vesting method. The probability of achieving the PSU performance conditions is assessed each reporting period for expense purposes.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March 28, 2026, there was $63 million of unrecognized compensation cost related to unvested RSUs, which is expected to be recognized over a weighted-average period of 1.8 years, and there was $51 million of unrecognized compensation cost related to unvested PSUs, which is expected to be recognized over a weighted-average period of 1.4 years. The following table summarizes the RSUs and PSUs activity and related information for the three months ended March 28, 2026:</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85"/>
        <w:gridCol w:w="780"/>
        <w:gridCol w:w="782"/>
        <w:gridCol w:w="435"/>
        <w:gridCol w:w="436"/>
        <w:gridCol w:w="181"/>
        <w:gridCol w:w="109"/>
        <w:gridCol w:w="109"/>
        <w:gridCol w:w="109"/>
        <w:gridCol w:w="526"/>
        <w:gridCol w:w="1495"/>
        <w:gridCol w:w="292"/>
        <w:gridCol w:w="109"/>
        <w:gridCol w:w="109"/>
        <w:gridCol w:w="109"/>
        <w:gridCol w:w="435"/>
        <w:gridCol w:w="436"/>
        <w:gridCol w:w="176"/>
        <w:gridCol w:w="109"/>
        <w:gridCol w:w="109"/>
        <w:gridCol w:w="109"/>
        <w:gridCol w:w="510"/>
        <w:gridCol w:w="1449"/>
        <w:gridCol w:w="406"/>
      </w:tblGrid>
      <w:tr>
        <w:trPr/>
        <w:tc>
          <w:tcPr>
            <w:tcW w:w="885"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2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Wtd. Avg.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Wtd. Avg. Grant Date Fair Value</w:t>
            </w:r>
          </w:p>
        </w:tc>
      </w:tr>
      <w:tr>
        <w:trPr/>
        <w:tc>
          <w:tcPr>
            <w:tcW w:w="24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Unvested as of December 31, 2025</w:t>
            </w:r>
          </w:p>
        </w:tc>
        <w:tc>
          <w:tcPr>
            <w:tcW w:w="8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523,795 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9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29.00 </w:t>
            </w:r>
          </w:p>
        </w:tc>
        <w:tc>
          <w:tcPr>
            <w:tcW w:w="2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1,635,527 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44.05 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1,206,267 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44.05 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Unvested as of March 28, 2026</w:t>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2,159,322 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40.40 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1,206,267 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44.05 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95250"/>
                <wp:effectExtent l="0" t="0" r="0" b="0"/>
                <wp:wrapNone/>
                <wp:docPr id="28" name="Frame28"/>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27</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13 - STOCK-BASED COMPENSATION (Continued)</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Options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Options issued entitle the holder to future purchases of Class A common stock and are exercisable up to the tenth anniversary of the grant date. As of March 28, 2026, there was $20 million of unrecognized compensation cost related to options, which is expected to be recognized on a graded or straight-line basis over a weighted-average period of 1.4 years. The following table summarizes option activity and related information for the three months ended March 28, 2026:</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54"/>
        <w:gridCol w:w="574"/>
        <w:gridCol w:w="578"/>
        <w:gridCol w:w="435"/>
        <w:gridCol w:w="436"/>
        <w:gridCol w:w="226"/>
        <w:gridCol w:w="109"/>
        <w:gridCol w:w="109"/>
        <w:gridCol w:w="109"/>
        <w:gridCol w:w="357"/>
        <w:gridCol w:w="1013"/>
        <w:gridCol w:w="198"/>
        <w:gridCol w:w="109"/>
        <w:gridCol w:w="109"/>
        <w:gridCol w:w="109"/>
        <w:gridCol w:w="300"/>
        <w:gridCol w:w="851"/>
        <w:gridCol w:w="166"/>
        <w:gridCol w:w="109"/>
        <w:gridCol w:w="109"/>
        <w:gridCol w:w="109"/>
        <w:gridCol w:w="578"/>
        <w:gridCol w:w="578"/>
        <w:gridCol w:w="580"/>
        <w:gridCol w:w="109"/>
        <w:gridCol w:w="109"/>
        <w:gridCol w:w="109"/>
        <w:gridCol w:w="393"/>
        <w:gridCol w:w="663"/>
        <w:gridCol w:w="317"/>
      </w:tblGrid>
      <w:tr>
        <w:trPr/>
        <w:tc>
          <w:tcPr>
            <w:tcW w:w="65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Wtd. Avg.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Wtd. Avg.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Average Remaining Contractual Term</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Aggregate Intrinsic Value</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millions)</w:t>
            </w:r>
          </w:p>
        </w:tc>
      </w:tr>
      <w:tr>
        <w:trPr/>
        <w:tc>
          <w:tcPr>
            <w:tcW w:w="18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as of December 31, 2025</w:t>
            </w:r>
          </w:p>
        </w:tc>
        <w:tc>
          <w:tcPr>
            <w:tcW w:w="8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6,770,442 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11.97 </w:t>
            </w:r>
          </w:p>
        </w:tc>
        <w:tc>
          <w:tcPr>
            <w:tcW w:w="1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29.00 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as of March 28, 2026</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6,770,442 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11.97 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Exercisable as of March 28, 2026</w:t>
            </w:r>
          </w:p>
        </w:tc>
        <w:tc>
          <w:tcPr>
            <w:tcW w:w="87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to vest as of March 28, 2026</w:t>
            </w:r>
          </w:p>
        </w:tc>
        <w:tc>
          <w:tcPr>
            <w:tcW w:w="87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6,770,442 </w:t>
            </w:r>
          </w:p>
        </w:tc>
        <w:tc>
          <w:tcPr>
            <w:tcW w:w="2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11.97 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aggregate intrinsic value in the table above represents the cumulative difference between the closing price of Class A common stock on March 28, 2026 and the option exercise prices.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Liability-classified awards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Liability-classified awards are presented in Other long-term liabilities on the unaudited Condensed Consolidated Balance Sheets. The Company reevaluates the fair value of liability-classified awards periodically until they are reclassified as equity when granted, with the fair value change recorded ratably in the current-period compensation expense. For the three months ended March 28, 2026 and March 29, 2025, the Company reclassified liabilities of $11 million and $10 million, respectively, to equity.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Prior to Reorganization and IPO</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29, 2025 and March 30, 2024, Medline Holdings authorized Class B units to be granted to certain employees upon fulfillment of certain performance conditions. With each grant, the number of Class B units to be issued and the grant date fair value of the award are dependent on the performance targets achieved and Medline Holdings’ equity value, and will be determined on the official grant date. The Class B units were subject to a five-year service vesting period, with 20% of units vesting on each of the five anniversaries from the official grant date. The award was classified as a liability in accordance with ASC 718 until the official grant date, when it was reclassified as equity.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March 2025, 50,659,004 of Class B Units were legally granted with a grant date fair value of $29 million.</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IPO and Reorganization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the time of IPO, the liability-classified awards authorized in the three months ended March 29, 2025 were not yet granted and classified as a liability (“2025 Awards”). Both the underlying equity instrument and the vesting condition were modified upon the IPO. In March 2026, the 2025 Awards were settled into 521,371 RSUs with grant date fair value of $23 million, and the respective liabilities was reclassified as equity. 25% of the 2025 Awards will vest 180 days post-IPO while the remaining 75% of the 2025 Awards will vest on each of the three anniversaries from the official grant date. As of March 28, 2026, the Company has no liability-classified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95250"/>
                <wp:effectExtent l="0" t="0" r="0" b="0"/>
                <wp:wrapNone/>
                <wp:docPr id="29" name="Frame29"/>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28</w:t>
                      </w:r>
                    </w:p>
                  </w:txbxContent>
                </v:textbox>
                <w10:wrap type="none"/>
              </v:rect>
            </w:pict>
          </mc:Fallback>
        </mc:AlternateContent>
      </w:r>
    </w:p>
    <w:p>
      <w:pPr>
        <w:pStyle w:val="TextBody"/>
        <w:bidi w:val="0"/>
        <w:spacing w:before="0" w:after="0"/>
        <w:jc w:val="left"/>
        <w:rPr/>
      </w:pPr>
      <w:r>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14 - EARNINGS PER SHARE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All net income prior to the IPO was entirely allocable to partners of Medline Holdings. As a result of the Reorganization and IPO, the Company’s capital structure before and after IPO are not comparable, and the presentation of earnings per share for the periods prior to the IPO is not meaningful and not presented herein.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computes earnings per share of Class A common stock using the two-class method required for participating securities. Shares of Class B common stock are not considered participating securities because they have no right to receive dividends, no right to receive distribution on liquidation or winding up of Medline Inc. and no earnings or losses are allocable to such class. Therefore, basic and diluted earnings per share of Class B common stock has not been presented.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Basic earnings per share attributable to the Company’s stockholders is computed by dividing net income attributable to the Company by the weighted-average number of Class A common stock outstanding during the period. Diluted earnings per share attributable to the Company gives effect to all potential shares of Class A common stock, including conversion of Class B common stock, conversion of Medline Holdings Incentive Units, stock options, RSAs, RSUs, and PSUs to the extent these are dilutive.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calculation of basic and diluted earnings per share of Class A common stock:</w:t>
      </w:r>
    </w:p>
    <w:p>
      <w:pPr>
        <w:pStyle w:val="TextBody"/>
        <w:bidi w:val="0"/>
        <w:spacing w:before="0" w:after="0"/>
        <w:jc w:val="both"/>
        <w:rPr/>
      </w:pPr>
      <w:r>
        <w:rPr/>
      </w:r>
    </w:p>
    <w:tbl>
      <w:tblPr>
        <w:tblW w:w="8265" w:type="dxa"/>
        <w:jc w:val="center"/>
        <w:tblInd w:w="0" w:type="dxa"/>
        <w:tblLayout w:type="fixed"/>
        <w:tblCellMar>
          <w:top w:w="28" w:type="dxa"/>
          <w:left w:w="28" w:type="dxa"/>
          <w:bottom w:w="28" w:type="dxa"/>
          <w:right w:w="28" w:type="dxa"/>
        </w:tblCellMar>
      </w:tblPr>
      <w:tblGrid>
        <w:gridCol w:w="1963"/>
        <w:gridCol w:w="1727"/>
        <w:gridCol w:w="1740"/>
        <w:gridCol w:w="681"/>
        <w:gridCol w:w="1619"/>
        <w:gridCol w:w="535"/>
      </w:tblGrid>
      <w:tr>
        <w:trPr/>
        <w:tc>
          <w:tcPr>
            <w:tcW w:w="1963"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 except number of shares and per share amounts)</w:t>
            </w:r>
          </w:p>
        </w:tc>
        <w:tc>
          <w:tcPr>
            <w:tcW w:w="28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March 28, 2026</w:t>
            </w:r>
          </w:p>
        </w:tc>
      </w:tr>
      <w:tr>
        <w:trPr/>
        <w:tc>
          <w:tcPr>
            <w:tcW w:w="5430" w:type="dxa"/>
            <w:gridSpan w:val="3"/>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 earnings per share:</w:t>
            </w:r>
          </w:p>
        </w:tc>
        <w:tc>
          <w:tcPr>
            <w:tcW w:w="28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Numerator</w:t>
            </w:r>
          </w:p>
        </w:tc>
        <w:tc>
          <w:tcPr>
            <w:tcW w:w="2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income attributable to noncontrolling interests</w:t>
            </w:r>
          </w:p>
        </w:tc>
        <w:tc>
          <w:tcPr>
            <w:tcW w:w="23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Medline Inc.</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Reallocation of net income attributed to vested incentive units</w:t>
            </w:r>
          </w:p>
        </w:tc>
        <w:tc>
          <w:tcPr>
            <w:tcW w:w="23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Numerator for earnings per share</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Denominator</w:t>
            </w:r>
          </w:p>
        </w:tc>
        <w:tc>
          <w:tcPr>
            <w:tcW w:w="2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number of Class A common stock outstanding</w:t>
            </w:r>
          </w:p>
        </w:tc>
        <w:tc>
          <w:tcPr>
            <w:tcW w:w="23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819,082,538 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 earnings per share</w:t>
            </w:r>
          </w:p>
        </w:tc>
        <w:tc>
          <w:tcPr>
            <w:tcW w:w="6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0.16 </w:t>
            </w:r>
          </w:p>
        </w:tc>
        <w:tc>
          <w:tcPr>
            <w:tcW w:w="5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per share:</w:t>
            </w:r>
          </w:p>
        </w:tc>
        <w:tc>
          <w:tcPr>
            <w:tcW w:w="2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Numerator</w:t>
            </w:r>
          </w:p>
        </w:tc>
        <w:tc>
          <w:tcPr>
            <w:tcW w:w="2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Numerator for earnings per share (Basic)</w:t>
            </w:r>
          </w:p>
        </w:tc>
        <w:tc>
          <w:tcPr>
            <w:tcW w:w="6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dilutive stock compensation awards</w:t>
            </w:r>
          </w:p>
        </w:tc>
        <w:tc>
          <w:tcPr>
            <w:tcW w:w="23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bookmarkStart w:id="0" w:name="iae6d805ddc614fdbb6d8bc74975101c2_17-0-1"/>
            <w:bookmarkEnd w:id="0"/>
            <w:r>
              <w:rPr>
                <w:rFonts w:ascii="Times New Roman;serif" w:hAnsi="Times New Roman;serif"/>
                <w:b w:val="false"/>
                <w:color w:val="000000"/>
                <w:sz w:val="18"/>
              </w:rPr>
              <w:t>Numerator for earnings per share (Diluted)</w:t>
            </w:r>
          </w:p>
        </w:tc>
        <w:tc>
          <w:tcPr>
            <w:tcW w:w="6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5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Denominator</w:t>
            </w:r>
          </w:p>
        </w:tc>
        <w:tc>
          <w:tcPr>
            <w:tcW w:w="2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number of Class A common stock outstanding (Basic)</w:t>
            </w:r>
          </w:p>
        </w:tc>
        <w:tc>
          <w:tcPr>
            <w:tcW w:w="23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819,082,538 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effect of dilutive securities:</w:t>
            </w:r>
          </w:p>
        </w:tc>
        <w:tc>
          <w:tcPr>
            <w:tcW w:w="2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dilutive stock compensation awards</w:t>
            </w:r>
          </w:p>
        </w:tc>
        <w:tc>
          <w:tcPr>
            <w:tcW w:w="23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5,753,499 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number of Class A common stock outstanding (Diluted)</w:t>
            </w:r>
          </w:p>
        </w:tc>
        <w:tc>
          <w:tcPr>
            <w:tcW w:w="23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824,836,037 </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per share</w:t>
            </w:r>
          </w:p>
        </w:tc>
        <w:tc>
          <w:tcPr>
            <w:tcW w:w="6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0.16 </w:t>
            </w:r>
          </w:p>
        </w:tc>
        <w:tc>
          <w:tcPr>
            <w:tcW w:w="5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outstanding shares of potentially dilutive securities excluded from the calculation of diluted earnings per share because including them would have had an anti-dilutive effect:</w:t>
      </w:r>
    </w:p>
    <w:p>
      <w:pPr>
        <w:pStyle w:val="TextBody"/>
        <w:bidi w:val="0"/>
        <w:spacing w:before="0" w:after="0"/>
        <w:jc w:val="both"/>
        <w:rPr/>
      </w:pPr>
      <w:r>
        <w:rPr/>
      </w:r>
    </w:p>
    <w:tbl>
      <w:tblPr>
        <w:tblW w:w="4589" w:type="dxa"/>
        <w:jc w:val="left"/>
        <w:tblInd w:w="0" w:type="dxa"/>
        <w:tblLayout w:type="fixed"/>
        <w:tblCellMar>
          <w:top w:w="28" w:type="dxa"/>
          <w:left w:w="28" w:type="dxa"/>
          <w:bottom w:w="28" w:type="dxa"/>
          <w:right w:w="28" w:type="dxa"/>
        </w:tblCellMar>
      </w:tblPr>
      <w:tblGrid>
        <w:gridCol w:w="634"/>
        <w:gridCol w:w="558"/>
        <w:gridCol w:w="563"/>
        <w:gridCol w:w="827"/>
        <w:gridCol w:w="827"/>
        <w:gridCol w:w="1180"/>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March 28, 2026</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Class B common stock</w:t>
            </w:r>
          </w:p>
        </w:tc>
        <w:tc>
          <w:tcPr>
            <w:tcW w:w="16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492,676,526 </w:t>
            </w:r>
          </w:p>
        </w:tc>
        <w:tc>
          <w:tcPr>
            <w:tcW w:w="1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2834"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2834"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2834"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2834"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2834"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28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95250"/>
                <wp:effectExtent l="0" t="0" r="0" b="0"/>
                <wp:wrapNone/>
                <wp:docPr id="30" name="Frame30"/>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29</w:t>
                      </w:r>
                    </w:p>
                  </w:txbxContent>
                </v:textbox>
                <w10:wrap type="none"/>
              </v:rect>
            </w:pict>
          </mc:Fallback>
        </mc:AlternateContent>
      </w:r>
    </w:p>
    <w:p>
      <w:pPr>
        <w:pStyle w:val="TextBody"/>
        <w:bidi w:val="0"/>
        <w:spacing w:before="0" w:after="0"/>
        <w:jc w:val="left"/>
        <w:rPr/>
      </w:pPr>
      <w:r>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15 - RELATED PARTY</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Credit Agreements and Borrowings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Company’s long-term debts held by certain affiliates of the Company’s private equity sponsors. The terms of these debts are identical to all other debts issued. See Note 5—Credit Agreements and Borrowings for additional information on the long-term debt. </w:t>
      </w:r>
    </w:p>
    <w:p>
      <w:pPr>
        <w:pStyle w:val="TextBody"/>
        <w:bidi w:val="0"/>
        <w:spacing w:before="0" w:after="0"/>
        <w:jc w:val="both"/>
        <w:rPr/>
      </w:pPr>
      <w:r>
        <w:rPr/>
      </w:r>
    </w:p>
    <w:tbl>
      <w:tblPr>
        <w:tblW w:w="8411" w:type="dxa"/>
        <w:jc w:val="center"/>
        <w:tblInd w:w="0" w:type="dxa"/>
        <w:tblLayout w:type="fixed"/>
        <w:tblCellMar>
          <w:top w:w="28" w:type="dxa"/>
          <w:left w:w="28" w:type="dxa"/>
          <w:bottom w:w="28" w:type="dxa"/>
          <w:right w:w="28" w:type="dxa"/>
        </w:tblCellMar>
      </w:tblPr>
      <w:tblGrid>
        <w:gridCol w:w="1917"/>
        <w:gridCol w:w="1686"/>
        <w:gridCol w:w="1692"/>
        <w:gridCol w:w="445"/>
        <w:gridCol w:w="549"/>
        <w:gridCol w:w="250"/>
        <w:gridCol w:w="109"/>
        <w:gridCol w:w="109"/>
        <w:gridCol w:w="109"/>
        <w:gridCol w:w="511"/>
        <w:gridCol w:w="630"/>
        <w:gridCol w:w="404"/>
      </w:tblGrid>
      <w:tr>
        <w:trPr/>
        <w:tc>
          <w:tcPr>
            <w:tcW w:w="1917"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March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borrowings and other short-term borrowing</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Long-term borrowings, less current portion</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Tax Receivable Agreement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Reorganization and the IPO, the Company has entered into a TRA with certain of its pre-IPO owners. Among these pre-IPO owners are individuals and entities classified as related parties of the Company; consequently, transactions pertaining to the TRA are regarded as related party transactions in relation to these individuals and entities. From time to time, the pre-IPO owners party to the TRA have, and may in the future, transfer and assign their rights under the TRA in accordance with its terms. Such transfers and assignments do not affect the Company’s underlying rights and obligations under the TRA. In March 2026, certain of the pre-IPO owners entered into an assignment and assumption agreement, pursuant to which such parties transferred and assigned their rights under the TRA to certain other pre-IPO owners for approximately $1.4 billion. See Note 7—Tax Receivable Agreement for additional information.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There have been no other significant transactions with related parties during the periods presented.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16 - SEGMENT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discloses information regarding reportable segments based on the way management organizes the business for assessing performance and making operational decisions and allocating resources. The Company reports its financial results in two reportable segments: Medline Brand and Supply Chain Solutions, described further as follows: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Medline Brand segment procures and manufactures products from three product categories - Surgical Solutions, Front Line Care, and Laboratory &amp; Diagnostics. This segment provides its products to domestic and international consumers.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Supply Chain Solutions segment procures and distributes a variety of third-party products from national brands and also provides tailored logistics and supply chain optimization services to domestic and international consumers. Supply Chain Solutions is not managed based upon product categories as its focus is on signing new prime vendor relationships and servicing customers by leveraging strong third-party supplier relationships and through its fulfillment and distribution capabilities. As a distributor of products from</w:t>
      </w:r>
      <w:r>
        <w:rPr>
          <w:color w:val="000000"/>
          <w:shd w:fill="FFFFFF" w:val="clear"/>
        </w:rPr>
        <w:t xml:space="preserve"> </w:t>
      </w:r>
      <w:r>
        <w:rPr>
          <w:rFonts w:ascii="Times New Roman;serif" w:hAnsi="Times New Roman;serif"/>
          <w:b w:val="false"/>
          <w:color w:val="000000"/>
          <w:sz w:val="20"/>
          <w:shd w:fill="FFFFFF" w:val="clear"/>
        </w:rPr>
        <w:t xml:space="preserve">over </w:t>
      </w:r>
      <w:r>
        <w:rPr>
          <w:rFonts w:ascii="Times New Roman;serif" w:hAnsi="Times New Roman;serif"/>
          <w:b w:val="false"/>
          <w:color w:val="000000"/>
          <w:sz w:val="20"/>
        </w:rPr>
        <w:t>1,300</w:t>
      </w:r>
      <w:r>
        <w:rPr>
          <w:color w:val="000000"/>
          <w:shd w:fill="FFFFFF" w:val="clear"/>
        </w:rPr>
        <w:t xml:space="preserve"> </w:t>
      </w:r>
      <w:r>
        <w:rPr>
          <w:rFonts w:ascii="Times New Roman;serif" w:hAnsi="Times New Roman;serif"/>
          <w:b w:val="false"/>
          <w:color w:val="000000"/>
          <w:sz w:val="20"/>
          <w:shd w:fill="FFFFFF" w:val="clear"/>
        </w:rPr>
        <w:t>third</w:t>
      </w:r>
      <w:r>
        <w:rPr>
          <w:rFonts w:ascii="Times New Roman;serif" w:hAnsi="Times New Roman;serif"/>
          <w:b w:val="false"/>
          <w:color w:val="000000"/>
          <w:sz w:val="20"/>
        </w:rPr>
        <w:t xml:space="preserve">-party suppliers, the Company sells products across a large number of product groups to the entire continuum of care and, as a result, it is impracticable to provide segment information at the product group level for Supply Chain Solutions.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organizational structure also includes Corporate &amp; Other which consists of expenses related to centralized corporate functions, such as finance, information technology, legal, human resources, and internal audit.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95250"/>
                <wp:effectExtent l="0" t="0" r="0" b="0"/>
                <wp:wrapNone/>
                <wp:docPr id="31" name="Frame31"/>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30</w:t>
                      </w:r>
                    </w:p>
                  </w:txbxContent>
                </v:textbox>
                <w10:wrap type="none"/>
              </v:rect>
            </w:pict>
          </mc:Fallback>
        </mc:AlternateContent>
      </w:r>
    </w:p>
    <w:p>
      <w:pPr>
        <w:pStyle w:val="TextBody"/>
        <w:bidi w:val="0"/>
        <w:spacing w:before="0" w:after="0"/>
        <w:jc w:val="left"/>
        <w:rPr/>
      </w:pPr>
      <w:r>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16 - SEGMENT INFORMATION (Continued)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(“CODM”) is the Company’s Chief Executive Officer. For the Medline Brand and Supply Chain Solutions segments, the CODM uses segment adjusted earnings before interest, taxes, depreciation and amortization (“Segment Adjusted EBITDA”) to evaluate the business performance and allocate resources (including employees, financial, or capital resources) to each segment. Segment Adjusted EBITDA essentially represents segment net sales reduced by cost of goods sold and selling, general and administrative expenses and is considered a meaningful measure of the Company’s financial condition and results of operations across periods by removing the impact of items that management believes do not directly reflect the ongoing operating performance. The Segment Adjusted EBITDA is utilized during the budgeting and forecasting process to assess profitability and enable decision making regarding strategic initiatives, capital expenditures, and work force for both segments.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CODM does not regularly review any asset information by business segment as this information is not utilized to make decisions and allocate resources. As such, the Company does not report asset information by business segment. The Company has not identified any segment expenses that are considered significant and segment expenses are not regularly provided to the CODM. However, the CODM is regularly provided with consolidated expense information for decision making. Other segment items are direct operating expenses and selling, general and administrative expenses, which are the difference between each operating segment’s revenue and Segment Adjusted EBITDA. All the segment data disclosed reflects the way the CODM internally receives information and monitors the segment performance and is consistently presented across all public communications.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financial information by segment:</w:t>
      </w:r>
    </w:p>
    <w:p>
      <w:pPr>
        <w:pStyle w:val="TextBody"/>
        <w:bidi w:val="0"/>
        <w:spacing w:before="0" w:after="0"/>
        <w:jc w:val="both"/>
        <w:rPr/>
      </w:pPr>
      <w:r>
        <w:rPr/>
      </w:r>
    </w:p>
    <w:tbl>
      <w:tblPr>
        <w:tblW w:w="7460" w:type="dxa"/>
        <w:jc w:val="left"/>
        <w:tblInd w:w="0" w:type="dxa"/>
        <w:tblLayout w:type="fixed"/>
        <w:tblCellMar>
          <w:top w:w="28" w:type="dxa"/>
          <w:left w:w="28" w:type="dxa"/>
          <w:bottom w:w="28" w:type="dxa"/>
          <w:right w:w="28" w:type="dxa"/>
        </w:tblCellMar>
      </w:tblPr>
      <w:tblGrid>
        <w:gridCol w:w="1270"/>
        <w:gridCol w:w="1118"/>
        <w:gridCol w:w="1122"/>
        <w:gridCol w:w="109"/>
        <w:gridCol w:w="109"/>
        <w:gridCol w:w="109"/>
        <w:gridCol w:w="109"/>
        <w:gridCol w:w="109"/>
        <w:gridCol w:w="109"/>
        <w:gridCol w:w="283"/>
        <w:gridCol w:w="804"/>
        <w:gridCol w:w="157"/>
        <w:gridCol w:w="109"/>
        <w:gridCol w:w="109"/>
        <w:gridCol w:w="109"/>
        <w:gridCol w:w="283"/>
        <w:gridCol w:w="804"/>
        <w:gridCol w:w="157"/>
        <w:gridCol w:w="109"/>
        <w:gridCol w:w="109"/>
        <w:gridCol w:w="109"/>
        <w:gridCol w:w="154"/>
      </w:tblGrid>
      <w:tr>
        <w:trPr/>
        <w:tc>
          <w:tcPr>
            <w:tcW w:w="127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3" w:type="dxa"/>
            <w:gridSpan w:val="16"/>
            <w:tcBorders/>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March 29,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u w:val="single"/>
              </w:rPr>
            </w:pPr>
            <w:r>
              <w:rPr>
                <w:rFonts w:ascii="Times New Roman;serif" w:hAnsi="Times New Roman;serif"/>
                <w:b/>
                <w:color w:val="000000"/>
                <w:sz w:val="18"/>
                <w:u w:val="single"/>
              </w:rPr>
              <w:t>Net sales to external customers: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Front Line Care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Surgical Solutions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Laboratory and Diagnostics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Medline Brand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3,465 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3,264 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Supply Chain Solutions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3,887 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3,380 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Consolidated net sales to external customers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7,352 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6,644 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u w:val="single"/>
              </w:rPr>
            </w:pPr>
            <w:r>
              <w:rPr>
                <w:rFonts w:ascii="Times New Roman;serif" w:hAnsi="Times New Roman;serif"/>
                <w:b/>
                <w:color w:val="000000"/>
                <w:sz w:val="18"/>
                <w:u w:val="single"/>
              </w:rPr>
              <w:t>Segment 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Medline Brand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Supply Chain Solutions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Total segment 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&amp;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Inventory-related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Litigation gains,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Transaction-related costs </w:t>
            </w:r>
            <w:r>
              <w:rPr>
                <w:rFonts w:ascii="Times New Roman;serif" w:hAnsi="Times New Roman;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Other non-core charges, net </w:t>
            </w:r>
            <w:r>
              <w:rPr>
                <w:rFonts w:ascii="Times New Roman;serif" w:hAnsi="Times New Roman;serif"/>
                <w:b w:val="false"/>
                <w:color w:val="000000"/>
                <w:sz w:val="12"/>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291 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338 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Represents acquisition and integration-related costs and IPO and March 2026 Resale Offering related costs.</w:t>
      </w:r>
    </w:p>
    <w:p>
      <w:pPr>
        <w:pStyle w:val="TextBody"/>
        <w:bidi w:val="0"/>
        <w:spacing w:lineRule="auto" w:line="288" w:before="0" w:after="0"/>
        <w:jc w:val="both"/>
        <w:rPr/>
      </w:pPr>
      <w:r>
        <w:rPr>
          <w:rFonts w:ascii="Times New Roman;serif" w:hAnsi="Times New Roman;serif"/>
          <w:b w:val="false"/>
          <w:color w:val="000000"/>
          <w:sz w:val="12"/>
        </w:rPr>
        <w:t xml:space="preserve">(2) </w:t>
      </w:r>
      <w:r>
        <w:rPr>
          <w:rFonts w:ascii="Times New Roman;serif" w:hAnsi="Times New Roman;serif"/>
          <w:b w:val="false"/>
          <w:color w:val="000000"/>
          <w:sz w:val="18"/>
        </w:rPr>
        <w:t>Represents loss on credit loss expense related to customer receivables, losses on disposal of assets and exits, realized and unrealized foreign currency and investment losses and costs, and other items.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95250"/>
                <wp:effectExtent l="0" t="0" r="0" b="0"/>
                <wp:wrapNone/>
                <wp:docPr id="32" name="Frame32"/>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31</w:t>
                      </w:r>
                    </w:p>
                  </w:txbxContent>
                </v:textbox>
                <w10:wrap type="none"/>
              </v:rect>
            </w:pict>
          </mc:Fallback>
        </mc:AlternateContent>
      </w:r>
    </w:p>
    <w:p>
      <w:pPr>
        <w:pStyle w:val="TextBody"/>
        <w:bidi w:val="0"/>
        <w:spacing w:before="0" w:after="0"/>
        <w:jc w:val="left"/>
        <w:rPr/>
      </w:pPr>
      <w:r>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16 - SEGMENT INFORMATION (Continued)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information by sales office and geographic area: </w:t>
      </w:r>
    </w:p>
    <w:p>
      <w:pPr>
        <w:pStyle w:val="TextBody"/>
        <w:bidi w:val="0"/>
        <w:spacing w:before="0" w:after="0"/>
        <w:jc w:val="both"/>
        <w:rPr/>
      </w:pPr>
      <w:r>
        <w:rPr/>
      </w:r>
    </w:p>
    <w:tbl>
      <w:tblPr>
        <w:tblW w:w="7460" w:type="dxa"/>
        <w:jc w:val="left"/>
        <w:tblInd w:w="0" w:type="dxa"/>
        <w:tblLayout w:type="fixed"/>
        <w:tblCellMar>
          <w:top w:w="28" w:type="dxa"/>
          <w:left w:w="28" w:type="dxa"/>
          <w:bottom w:w="28" w:type="dxa"/>
          <w:right w:w="28" w:type="dxa"/>
        </w:tblCellMar>
      </w:tblPr>
      <w:tblGrid>
        <w:gridCol w:w="1270"/>
        <w:gridCol w:w="1118"/>
        <w:gridCol w:w="1122"/>
        <w:gridCol w:w="109"/>
        <w:gridCol w:w="109"/>
        <w:gridCol w:w="109"/>
        <w:gridCol w:w="109"/>
        <w:gridCol w:w="109"/>
        <w:gridCol w:w="109"/>
        <w:gridCol w:w="283"/>
        <w:gridCol w:w="804"/>
        <w:gridCol w:w="157"/>
        <w:gridCol w:w="109"/>
        <w:gridCol w:w="109"/>
        <w:gridCol w:w="109"/>
        <w:gridCol w:w="283"/>
        <w:gridCol w:w="804"/>
        <w:gridCol w:w="157"/>
        <w:gridCol w:w="109"/>
        <w:gridCol w:w="109"/>
        <w:gridCol w:w="109"/>
        <w:gridCol w:w="154"/>
      </w:tblGrid>
      <w:tr>
        <w:trPr/>
        <w:tc>
          <w:tcPr>
            <w:tcW w:w="127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3" w:type="dxa"/>
            <w:gridSpan w:val="16"/>
            <w:tcBorders/>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March 29,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u w:val="single"/>
              </w:rPr>
            </w:pPr>
            <w:r>
              <w:rPr>
                <w:rFonts w:ascii="Times New Roman;serif" w:hAnsi="Times New Roman;serif"/>
                <w:b/>
                <w:color w:val="000000"/>
                <w:sz w:val="18"/>
                <w:u w:val="single"/>
              </w:rPr>
              <w:t>Net sales to external customers: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Acute care </w:t>
            </w:r>
            <w:r>
              <w:rPr>
                <w:rFonts w:ascii="Times New Roman;serif" w:hAnsi="Times New Roman;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5,125 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4,572 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Non-Acute care </w:t>
            </w:r>
            <w:r>
              <w:rPr>
                <w:rFonts w:ascii="Times New Roman;serif" w:hAnsi="Times New Roman;serif"/>
                <w:b w:val="false"/>
                <w:color w:val="000000"/>
                <w:sz w:val="12"/>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6,857 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6,194 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Consolidated net sales to external customers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7,352 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6,644 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 xml:space="preserve">Acute care represents hospital health systems. </w:t>
      </w:r>
    </w:p>
    <w:p>
      <w:pPr>
        <w:pStyle w:val="TextBody"/>
        <w:bidi w:val="0"/>
        <w:spacing w:lineRule="auto" w:line="288" w:before="0" w:after="0"/>
        <w:ind w:left="0" w:right="0" w:hanging="1"/>
        <w:jc w:val="both"/>
        <w:rPr/>
      </w:pPr>
      <w:r>
        <w:rPr>
          <w:rFonts w:ascii="Times New Roman;serif" w:hAnsi="Times New Roman;serif"/>
          <w:b w:val="false"/>
          <w:color w:val="000000"/>
          <w:sz w:val="12"/>
        </w:rPr>
        <w:t xml:space="preserve">(2) </w:t>
      </w:r>
      <w:r>
        <w:rPr>
          <w:rFonts w:ascii="Times New Roman;serif" w:hAnsi="Times New Roman;serif"/>
          <w:b w:val="false"/>
          <w:color w:val="000000"/>
          <w:sz w:val="18"/>
        </w:rPr>
        <w:t>Non-Acute care represents other sites of care including outpatient, post acute, physician’s office, surgery centers, and all other.</w:t>
      </w:r>
    </w:p>
    <w:p>
      <w:pPr>
        <w:pStyle w:val="TextBody"/>
        <w:bidi w:val="0"/>
        <w:spacing w:before="0" w:after="0"/>
        <w:jc w:val="both"/>
        <w:rPr/>
      </w:pPr>
      <w:r>
        <w:rPr/>
      </w:r>
    </w:p>
    <w:tbl>
      <w:tblPr>
        <w:tblW w:w="6444" w:type="dxa"/>
        <w:jc w:val="left"/>
        <w:tblInd w:w="0" w:type="dxa"/>
        <w:tblLayout w:type="fixed"/>
        <w:tblCellMar>
          <w:top w:w="28" w:type="dxa"/>
          <w:left w:w="28" w:type="dxa"/>
          <w:bottom w:w="28" w:type="dxa"/>
          <w:right w:w="28" w:type="dxa"/>
        </w:tblCellMar>
      </w:tblPr>
      <w:tblGrid>
        <w:gridCol w:w="1203"/>
        <w:gridCol w:w="1057"/>
        <w:gridCol w:w="1069"/>
        <w:gridCol w:w="283"/>
        <w:gridCol w:w="804"/>
        <w:gridCol w:w="157"/>
        <w:gridCol w:w="109"/>
        <w:gridCol w:w="109"/>
        <w:gridCol w:w="109"/>
        <w:gridCol w:w="334"/>
        <w:gridCol w:w="948"/>
        <w:gridCol w:w="262"/>
      </w:tblGrid>
      <w:tr>
        <w:trPr/>
        <w:tc>
          <w:tcPr>
            <w:tcW w:w="1203"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8"/>
                <w:u w:val="single"/>
              </w:rPr>
              <w:t xml:space="preserve">Long-lived assets by geographical area </w:t>
            </w:r>
            <w:r>
              <w:rPr>
                <w:rFonts w:ascii="Times New Roman;serif" w:hAnsi="Times New Roman;serif"/>
                <w:b/>
                <w:color w:val="000000"/>
                <w:sz w:val="12"/>
              </w:rPr>
              <w:t>(1)</w:t>
            </w:r>
            <w:r>
              <w:rPr>
                <w:rFonts w:ascii="Times New Roman;serif" w:hAnsi="Times New Roman;serif"/>
                <w:b/>
                <w:color w:val="000000"/>
                <w:sz w:val="18"/>
              </w:rPr>
              <w:t>:</w:t>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2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4,359 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4,433 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777 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Consolidated long-lived assets, net</w:t>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5,164 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5,210 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 xml:space="preserve">Includes property, plant, and equipment, net, and operating lease right-of-use assets.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17 - SUBSEQUENT EVENTS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evaluated its unaudited condensed consolidated financial statements for subsequent events through May 6, 2026, the date the unaudited condensed consolidated financial statements were available to be issued. Based upon this evaluation, the Company did not identify any subsequent events that would require adjustment or disclosure in the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95250"/>
                <wp:effectExtent l="0" t="0" r="0" b="0"/>
                <wp:wrapNone/>
                <wp:docPr id="33" name="Frame33"/>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This Management’s Discussion and Analysis of Financial Condition and Results of Operations ("MD&amp;A") is intended to help you understand the financial condition, results of operations, and present business of Medline and Medline Holdings (f/k/a, Mozart Holdings, LP, the predecessor of Medline). This MD&amp;A should be read in conjunction with our consolidated financial statements and the accompanying notes in Part I, “Item 1—Financial Statements” of this Quarterly Report and in Part II, “Item 8—Financial Statements and Supplemental Data” of our 2025 Form 10-K, as well as the corresponding MD&amp;A contained in our 2025 Form 10-K. Some of the information included in this MD&amp;A or set forth elsewhere in this Quarterly Report, including information with respect to our plans and strategy for our business, include forward-looking statements that involve risks and uncertainties. Our future results and financial condition may differ materially from those we currently anticipate. You should review the “Cautionary Note Regarding Forward-Looking Statements” section in this Quarterly Report and Part I, “Item 1A—Risk Factors” of our 2025 Form 10-K for a discussion of important factors that could cause actual results to differ materially from the results described in or implied by the forward-looking statements contained in the following discussion and analysis. For purposes of the MD&amp;A, references to the “Company,” “Medline,” “we,” “us,” and “our” mean Medline Inc. and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00" w:after="283"/>
        <w:jc w:val="both"/>
        <w:rPr/>
      </w:pPr>
      <w:r>
        <w:rPr>
          <w:rFonts w:ascii="Times New Roman;serif" w:hAnsi="Times New Roman;serif"/>
          <w:b w:val="false"/>
          <w:color w:val="000000"/>
          <w:sz w:val="20"/>
        </w:rPr>
        <w:t>Medline is the largest provider of med-surg products and supply chain solutions serving all points of care, based on total net sales of med-surg products. We deliver mission-critical products used daily across the full range of care settings, from hospitals and surgery centers to physician</w:t>
      </w:r>
      <w:r>
        <w:rPr>
          <w:color w:val="000000"/>
          <w:shd w:fill="FFFFFF" w:val="clear"/>
        </w:rPr>
        <w:t xml:space="preserve"> </w:t>
      </w:r>
      <w:r>
        <w:rPr>
          <w:rFonts w:ascii="Times New Roman;serif" w:hAnsi="Times New Roman;serif"/>
          <w:b w:val="false"/>
          <w:color w:val="000000"/>
          <w:sz w:val="20"/>
          <w:shd w:fill="FFFFFF" w:val="clear"/>
        </w:rPr>
        <w:t xml:space="preserve">offices and post-acute facilities. </w:t>
      </w:r>
      <w:r>
        <w:rPr>
          <w:rFonts w:ascii="Times New Roman;serif" w:hAnsi="Times New Roman;serif"/>
          <w:b w:val="false"/>
          <w:color w:val="000000"/>
          <w:sz w:val="20"/>
        </w:rPr>
        <w:t>We operate under two reportable segments, Medline Brand and Supply Chain Solutions. Both segments are supported by our Prime Vendor model, differentiated distribution network, and robust commercial platform. See Part I, “Item 1—Business” of our 2025 Form 10-K for a more detailed description of each of our segments, our Prime Vendor model, distribution network, and commercial platform.</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28, 2026, our financial results were as follows:</w:t>
      </w:r>
    </w:p>
    <w:p>
      <w:pPr>
        <w:pStyle w:val="TextBody"/>
        <w:bidi w:val="0"/>
        <w:spacing w:before="0" w:after="0"/>
        <w:jc w:val="both"/>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We generated net sales of $7.4 billion, net income of $0.2 billion, and Adjusted EBITDA of $0.8 billion, representing a net income margin of 3.3% and an Adjusted EBITDA Margin of 10.6%.</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During that period, Medline Brand segment net sales and Segment Adjusted EBITDA were $3.5 billion and $0.8 billion, respectively, which represented 47.1% of total net sales and 80.4% of Segment Adjusted EBITDA, respectively. Supply Chain Solutions segment net sales and Segment Adjusted EBITDA were $3.9 billion and $0.2 billion, respectively, which represented 52.9% of total net sales and 19.6% of Segment Adjusted EBITDA, respectively.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a reconciliation of Adjusted EBITDA and Adjusted EBITDA Margin to the most directly comparable GAAP financial measures, information about why we consider Adjusted EBITDA and Adjusted EBITDA Margin useful, and a discussion of the material risks and limitations of these measures, see “—Non-GAAP Financial Information”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 xml:space="preserve">Key Factors and Trends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28, 2026 our results and operations were impacted by various factors and trends, including those discussed below. For additional information regarding factors and trends that may impact our results and operations, see Part II, “Item 7—Management’s Discussion and Analysis of Financial Condition and Results of Operations” of our 2025 Form 10-K.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Trade Relations, Impacts of Tariffs on our Business, and Geopolitical Risks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current U.S. and international political environment, including existing and potential changes to U.S. policies related to global trade and tariffs, has resulted in uncertainty surrounding the future state of the global economy. While the global tariff environment is unpredictable, as a global company with strategically located and owned manufacturing, combined with a broadly diversified sourcing footprint, we believe we are well-positioned to mitigate potential supply chain challenges. We have multiple mitigation levers at our disposal, which include strategically re-allocating production to other parts of the world, leveraging our new and existing supplier base, optimizing procurement and sourcing of key inputs and raw materials, driving efficiencies and optimizing our own manufacturing footprint, pursuing available tariff mitigation measures, such as qualified exclusions, engaging with relevant industry and policy partners, and lastly, enacting selective price increases in a thoughtful and strategic way where needed. For the three months ended March 28, 2026, the net impact to income before taxes from tariffs and tariff developments was approximately $120 million. The actual full year impact may vary based on changes in tariff rates, duration of tariffs, scope of tariffs, and potential mitigation levers.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95250"/>
                <wp:effectExtent l="0" t="0" r="0" b="0"/>
                <wp:wrapNone/>
                <wp:docPr id="34" name="Frame34"/>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33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February 2026, the U.S. Supreme Court ruled that the International Emergency Economic Powers Act (“IEEPA”) does not authorize the President to impose tariffs thereunder. The U.S. subsequently imposed new tariffs under alternative statutory authority. In response, in April 2026, U.S. Customs and Border Protection announced a new administrative process for requesting refunds of certain tariffs imposed under IEEPA. The timing and amount of any potential refunds remain uncertain and are subject to eligibility requirements, administrative processing, and other limitations.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actively monitoring developments in the global tariff environment and will continue to evaluate the potential impact of the announced tariffs and related developments on our business and financial condition, as well as on our customers and suppliers, and the actions we may take to mitigate any impact. We have taken steps to establish alternative sources of supply and to otherwise mitigate the financial impact of tariffs. However, we may not be able to establish alternative sources of supply or fully mitigate the financial impact of tariffs across all of the products we source or manufacture.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February 28, 2026, a military conflict commenced in the Middle East. The ongoing geopolitical conflicts in the region have resulted in, and could continue to result in, significant disruption of energy supplies and increases in global energy prices, which could heighten inflationary pressures, disrupt global supply chains and adversely impact consumer spending patterns. We will continue to evaluate the evolving macroeconomic environment and seek to take actions to mitigate the impact, if any, on our business and financial condition.</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i/>
          <w:color w:val="000000"/>
          <w:sz w:val="20"/>
        </w:rPr>
        <w:t>Secondary Offering</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10, 2026, we completed an underwritten public offering of an aggregate of 86,250,000 shares of Class A common stock (including 11,250,000 shares of Class A common stock issued pursuant to the exercise in full of the underwriters’ option to purchase additional shares) sold by a wholly owned subsidiary of Abu Dhabi Investment Authority and certain affiliates of our Sponsors (collectively, the “Selling Stockholders”) at a public offering price of $41.00 per share, for aggregate gross proceeds of approximately $3.5 billion to the Selling Stockholders (the “March 2026 Resale Offering”). This transaction resulted in the issuance of 33,963,901 shares of Class A common stock in connection with the exchange of Common Units by the Selling Stockholders for the three months ended March 28, 2026. The exchange reduced the ownership of noncontrolling interest in Medline Holdings by approximately 3% and is expected to lead to higher net income attributable to the Company. We did not sell any shares in this March 2026 Resale Offering and did not receive any of the proceeds from the sale of the shares of Class A common stock in this March 2026 Resale Offering. We paid the offering expenses associated with the sale of the shares by the Selling Stockholders, net of the underwriting discounts and commissions.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IPO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December 18, 2025, we completed our IPO of 248,439,654 shares of Class A common stock, including 32,405,172 shares issued pursuant to the full exercise of the underwriters’ option to purchase additional shares, at a price to the public of $29.00 per share. Our Class A common stock began trading on the Nasdaq Global Select Market under the trading symbol “MDLN” on December 17, 2025. The IPO generated net proceeds of approximately $7,048 million after deducting underwriting discounts and commissions of approximately $157 million, but before deducting offering expenses of approximately $40 million. See Note 1—Nature of Business and Significant Accounting Policies to our unaudited condensed consolidated financial statements, included under Part I, “Item 1—Financial Statements" of this Quarterly Report 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Public Company Costs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incurred initial costs associated with public company reporting requirements during fiscal years 2026 and 2025, and we expect to continue to incur additional costs associated with operating as a public company. We expect that these costs will include additional personnel, legal, consulting, regulatory, insurance, accounting, investor relations, and other expenses that we did not incur as a private company. The Sarbanes-Oxley Act, as well as rules adopted by the SEC and national securities exchanges, requires public companies to implement specified corporate governance practices that were not inapplicable to us as a private company. These additional rules and regulations will increase our legal, regulatory, financial, and insurance compliance costs and will make some activities more time-consuming and costly.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95250"/>
                <wp:effectExtent l="0" t="0" r="0" b="0"/>
                <wp:wrapNone/>
                <wp:docPr id="35" name="Frame35"/>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34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Reorganization Transactions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Prior to the completion of the IPO, we executed the Reorganization, resulting in Medline Inc. becoming the sole general partner of Medline Holdings, with its sole material asset being a controlling equity interest in Medline Holdings. As the general partner of Medline Holdings, Medline Inc. now operates and controls all of the business and affairs of Medline Holdings, and has the obligation to absorb losses and receive benefits from Medline Holdings and, through Medline Holdings and its subsidiaries, operate the business. The Reorganization has been accounted for as a reorganization of entities under common control. As a result, the consolidated financial statements of Medline Inc. recognize the assets and liabilities received in the Reorganization at their historical carrying amounts, as presented in the historical financial statements of Medline Holdings. Medline Inc. consolidates Medline Holdings on its consolidated financial statements and records a noncontrolling interest, which pertains to partnership interests in Medline Holdings held by pre-IPO owners.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Medline Inc. is a corporation for U.S. federal and state income tax purposes. Medline Holdings is treated as a flow-through entity for U.S. federal and state income tax purposes, and, as such, has generally not been subject to U.S. federal income tax at the entity level. Accordingly, unless otherwise specified, the historical results of operations and other financial information set forth in this Quarterly Report do not include any provision for U.S. federal income tax for Medline Holdings except with respect to subsidiary corporations that are subject to U.S. federal income tax. Following the IPO, Medline Inc. is required to pay U.S. federal and state income taxes as a corporation on its share of Medline Holdings’ taxable income. </w:t>
      </w:r>
    </w:p>
    <w:p>
      <w:pPr>
        <w:pStyle w:val="TextBody"/>
        <w:bidi w:val="0"/>
        <w:spacing w:before="0" w:after="0"/>
        <w:ind w:left="0" w:right="0" w:firstLine="490"/>
        <w:jc w:val="both"/>
        <w:rPr/>
      </w:pPr>
      <w:r>
        <w:rPr/>
      </w:r>
    </w:p>
    <w:p>
      <w:pPr>
        <w:pStyle w:val="TextBody"/>
        <w:bidi w:val="0"/>
        <w:spacing w:lineRule="auto" w:line="288" w:before="0" w:after="0"/>
        <w:jc w:val="both"/>
        <w:rPr/>
      </w:pPr>
      <w:r>
        <w:rPr>
          <w:rFonts w:ascii="Times New Roman;serif" w:hAnsi="Times New Roman;serif"/>
          <w:b w:val="false"/>
          <w:color w:val="000000"/>
          <w:sz w:val="20"/>
        </w:rPr>
        <w:t>In connection with the Reorganization and the IPO, we also entered int</w:t>
      </w:r>
      <w:r>
        <w:rPr>
          <w:rFonts w:ascii="Times New Roman;serif" w:hAnsi="Times New Roman;serif"/>
          <w:b w:val="false"/>
          <w:color w:val="000000"/>
          <w:sz w:val="20"/>
          <w:shd w:fill="FFFFFF" w:val="clear"/>
        </w:rPr>
        <w:t>o a tax receivable agreement (“TRA”) with ce</w:t>
      </w:r>
      <w:r>
        <w:rPr>
          <w:rFonts w:ascii="Times New Roman;serif" w:hAnsi="Times New Roman;serif"/>
          <w:b w:val="false"/>
          <w:color w:val="000000"/>
          <w:sz w:val="20"/>
        </w:rPr>
        <w:t xml:space="preserve">rtain pre-IPO owners. See “—Liquidity and Capital Resources—Tax Receivable Agreement” for additional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Consolidated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For the three months ended March 28, 2026 compared to the three months ended March 29, 2025</w:t>
      </w:r>
    </w:p>
    <w:tbl>
      <w:tblPr>
        <w:tblW w:w="10205" w:type="dxa"/>
        <w:jc w:val="center"/>
        <w:tblInd w:w="0" w:type="dxa"/>
        <w:tblLayout w:type="fixed"/>
        <w:tblCellMar>
          <w:top w:w="28" w:type="dxa"/>
          <w:left w:w="28" w:type="dxa"/>
          <w:bottom w:w="28" w:type="dxa"/>
          <w:right w:w="28" w:type="dxa"/>
        </w:tblCellMar>
      </w:tblPr>
      <w:tblGrid>
        <w:gridCol w:w="911"/>
        <w:gridCol w:w="755"/>
        <w:gridCol w:w="758"/>
        <w:gridCol w:w="109"/>
        <w:gridCol w:w="109"/>
        <w:gridCol w:w="109"/>
        <w:gridCol w:w="109"/>
        <w:gridCol w:w="109"/>
        <w:gridCol w:w="109"/>
        <w:gridCol w:w="109"/>
        <w:gridCol w:w="109"/>
        <w:gridCol w:w="109"/>
        <w:gridCol w:w="109"/>
        <w:gridCol w:w="109"/>
        <w:gridCol w:w="979"/>
        <w:gridCol w:w="393"/>
        <w:gridCol w:w="977"/>
        <w:gridCol w:w="109"/>
        <w:gridCol w:w="369"/>
        <w:gridCol w:w="254"/>
        <w:gridCol w:w="257"/>
        <w:gridCol w:w="109"/>
        <w:gridCol w:w="109"/>
        <w:gridCol w:w="109"/>
        <w:gridCol w:w="369"/>
        <w:gridCol w:w="254"/>
        <w:gridCol w:w="257"/>
        <w:gridCol w:w="109"/>
        <w:gridCol w:w="109"/>
        <w:gridCol w:w="109"/>
        <w:gridCol w:w="196"/>
        <w:gridCol w:w="421"/>
        <w:gridCol w:w="109"/>
        <w:gridCol w:w="109"/>
        <w:gridCol w:w="109"/>
        <w:gridCol w:w="109"/>
        <w:gridCol w:w="200"/>
        <w:gridCol w:w="189"/>
        <w:gridCol w:w="268"/>
      </w:tblGrid>
      <w:tr>
        <w:trPr/>
        <w:tc>
          <w:tcPr>
            <w:tcW w:w="91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2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12"/>
            <w:tcBorders/>
          </w:tcPr>
          <w:p>
            <w:pPr>
              <w:pStyle w:val="TableContents"/>
              <w:bidi w:val="0"/>
              <w:spacing w:before="0" w:after="283"/>
              <w:jc w:val="left"/>
              <w:rPr>
                <w:sz w:val="4"/>
                <w:szCs w:val="4"/>
              </w:rPr>
            </w:pPr>
            <w:r>
              <w:rPr>
                <w:sz w:val="4"/>
                <w:szCs w:val="4"/>
              </w:rPr>
            </w:r>
          </w:p>
        </w:tc>
      </w:tr>
      <w:tr>
        <w:trPr/>
        <w:tc>
          <w:tcPr>
            <w:tcW w:w="2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March 28, 2026</w:t>
            </w:r>
          </w:p>
        </w:tc>
        <w:tc>
          <w:tcPr>
            <w:tcW w:w="393"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March 29,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2026 vs 2025</w:t>
            </w:r>
          </w:p>
        </w:tc>
        <w:tc>
          <w:tcPr>
            <w:tcW w:w="2037" w:type="dxa"/>
            <w:gridSpan w:val="12"/>
            <w:tcBorders/>
          </w:tcPr>
          <w:p>
            <w:pPr>
              <w:pStyle w:val="TableContents"/>
              <w:bidi w:val="0"/>
              <w:spacing w:before="0" w:after="283"/>
              <w:jc w:val="left"/>
              <w:rPr>
                <w:sz w:val="4"/>
                <w:szCs w:val="4"/>
              </w:rPr>
            </w:pPr>
            <w:r>
              <w:rPr>
                <w:sz w:val="4"/>
                <w:szCs w:val="4"/>
              </w:rPr>
            </w:r>
          </w:p>
        </w:tc>
      </w:tr>
      <w:tr>
        <w:trPr/>
        <w:tc>
          <w:tcPr>
            <w:tcW w:w="2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44"/>
              <w:jc w:val="left"/>
              <w:rPr>
                <w:rFonts w:ascii="Times New Roman;serif" w:hAnsi="Times New Roman;serif"/>
                <w:b w:val="false"/>
                <w:color w:val="000000"/>
                <w:sz w:val="18"/>
              </w:rPr>
            </w:pPr>
            <w:r>
              <w:rPr>
                <w:rFonts w:ascii="Times New Roman;serif" w:hAnsi="Times New Roman;serif"/>
                <w:b w:val="false"/>
                <w:color w:val="000000"/>
                <w:sz w:val="18"/>
              </w:rPr>
              <w:t>% Change</w:t>
            </w:r>
          </w:p>
        </w:tc>
        <w:tc>
          <w:tcPr>
            <w:tcW w:w="2037" w:type="dxa"/>
            <w:gridSpan w:val="12"/>
            <w:tcBorders/>
          </w:tcPr>
          <w:p>
            <w:pPr>
              <w:pStyle w:val="TableContents"/>
              <w:bidi w:val="0"/>
              <w:spacing w:before="0" w:after="283"/>
              <w:jc w:val="left"/>
              <w:rPr>
                <w:sz w:val="4"/>
                <w:szCs w:val="4"/>
              </w:rPr>
            </w:pPr>
            <w:r>
              <w:rPr>
                <w:sz w:val="4"/>
                <w:szCs w:val="4"/>
              </w:rPr>
            </w:r>
          </w:p>
        </w:tc>
      </w:tr>
      <w:tr>
        <w:trPr/>
        <w:tc>
          <w:tcPr>
            <w:tcW w:w="24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 except percentages)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10.7%</w:t>
            </w:r>
          </w:p>
        </w:tc>
      </w:tr>
      <w:tr>
        <w:trPr/>
        <w:tc>
          <w:tcPr>
            <w:tcW w:w="2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14.3%</w:t>
            </w:r>
          </w:p>
        </w:tc>
      </w:tr>
      <w:tr>
        <w:trPr/>
        <w:tc>
          <w:tcPr>
            <w:tcW w:w="2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0.9%</w:t>
            </w:r>
          </w:p>
        </w:tc>
      </w:tr>
      <w:tr>
        <w:trPr/>
        <w:tc>
          <w:tcPr>
            <w:tcW w:w="2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14.8%</w:t>
            </w:r>
          </w:p>
        </w:tc>
      </w:tr>
      <w:tr>
        <w:trPr/>
        <w:tc>
          <w:tcPr>
            <w:tcW w:w="2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0.6%</w:t>
            </w:r>
          </w:p>
        </w:tc>
      </w:tr>
      <w:tr>
        <w:trPr/>
        <w:tc>
          <w:tcPr>
            <w:tcW w:w="2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87.5%</w:t>
            </w:r>
          </w:p>
        </w:tc>
      </w:tr>
      <w:tr>
        <w:trPr/>
        <w:tc>
          <w:tcPr>
            <w:tcW w:w="2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13.2%</w:t>
            </w:r>
          </w:p>
        </w:tc>
      </w:tr>
      <w:tr>
        <w:trPr/>
        <w:tc>
          <w:tcPr>
            <w:tcW w:w="2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(26.1)%</w:t>
            </w:r>
          </w:p>
        </w:tc>
      </w:tr>
      <w:tr>
        <w:trPr/>
        <w:tc>
          <w:tcPr>
            <w:tcW w:w="2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(35.2)%</w:t>
            </w:r>
          </w:p>
        </w:tc>
      </w:tr>
      <w:tr>
        <w:trPr/>
        <w:tc>
          <w:tcPr>
            <w:tcW w:w="24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18"/>
              </w:rPr>
              <w:t>%</w:t>
            </w:r>
          </w:p>
        </w:tc>
      </w:tr>
      <w:tr>
        <w:trPr/>
        <w:tc>
          <w:tcPr>
            <w:tcW w:w="24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Foreign exchange gain (loss),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8"/>
              </w:rPr>
              <w:t>NM</w:t>
            </w:r>
            <w:r>
              <w:rPr>
                <w:rFonts w:ascii="Times New Roman;serif" w:hAnsi="Times New Roman;serif"/>
                <w:b w:val="false"/>
                <w:color w:val="000000"/>
                <w:sz w:val="12"/>
              </w:rPr>
              <w:t>(1)</w:t>
            </w:r>
          </w:p>
        </w:tc>
      </w:tr>
      <w:tr>
        <w:trPr/>
        <w:tc>
          <w:tcPr>
            <w:tcW w:w="2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(43.8)%</w:t>
            </w:r>
          </w:p>
        </w:tc>
      </w:tr>
      <w:tr>
        <w:trPr/>
        <w:tc>
          <w:tcPr>
            <w:tcW w:w="2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(13.9)%</w:t>
            </w:r>
          </w:p>
        </w:tc>
      </w:tr>
      <w:tr>
        <w:trPr/>
        <w:tc>
          <w:tcPr>
            <w:tcW w:w="2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8"/>
              </w:rPr>
              <w:t>NM</w:t>
            </w:r>
            <w:r>
              <w:rPr>
                <w:rFonts w:ascii="Times New Roman;serif" w:hAnsi="Times New Roman;serif"/>
                <w:b w:val="false"/>
                <w:color w:val="000000"/>
                <w:sz w:val="12"/>
              </w:rPr>
              <w:t>(1)</w:t>
            </w:r>
          </w:p>
        </w:tc>
      </w:tr>
      <w:tr>
        <w:trPr/>
        <w:tc>
          <w:tcPr>
            <w:tcW w:w="2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(25.8)%</w:t>
            </w:r>
          </w:p>
        </w:tc>
      </w:tr>
    </w:tbl>
    <w:p>
      <w:pPr>
        <w:pStyle w:val="TextBody"/>
        <w:bidi w:val="0"/>
        <w:spacing w:lineRule="auto" w:line="288" w:before="0" w:after="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Not Meaningful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Net Sales</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Net sales </w:t>
      </w:r>
      <w:r>
        <w:rPr>
          <w:rFonts w:ascii="Times New Roman;serif" w:hAnsi="Times New Roman;serif"/>
          <w:b w:val="false"/>
          <w:color w:val="000000"/>
          <w:sz w:val="20"/>
        </w:rPr>
        <w:t>for the three months ended</w:t>
      </w:r>
      <w:r>
        <w:rPr>
          <w:color w:val="000000"/>
          <w:shd w:fill="FFFFFF" w:val="clear"/>
        </w:rPr>
        <w:t xml:space="preserve"> </w:t>
      </w:r>
      <w:r>
        <w:rPr>
          <w:rFonts w:ascii="Times New Roman;serif" w:hAnsi="Times New Roman;serif"/>
          <w:b w:val="false"/>
          <w:color w:val="000000"/>
          <w:sz w:val="20"/>
          <w:shd w:fill="FFFFFF" w:val="clear"/>
        </w:rPr>
        <w:t xml:space="preserve">March 28, 2026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rPr>
        <w:t>$708</w:t>
      </w:r>
      <w:r>
        <w:rPr>
          <w:color w:val="000000"/>
          <w:shd w:fill="FFFFFF" w:val="clear"/>
        </w:rPr>
        <w:t xml:space="preserve"> </w:t>
      </w:r>
      <w:r>
        <w:rPr>
          <w:rFonts w:ascii="Times New Roman;serif" w:hAnsi="Times New Roman;serif"/>
          <w:b w:val="false"/>
          <w:color w:val="000000"/>
          <w:sz w:val="20"/>
          <w:shd w:fill="FFFFFF" w:val="clear"/>
        </w:rPr>
        <w:t xml:space="preserve">million, or </w:t>
      </w:r>
      <w:r>
        <w:rPr>
          <w:rFonts w:ascii="Times New Roman;serif" w:hAnsi="Times New Roman;serif"/>
          <w:b w:val="false"/>
          <w:color w:val="000000"/>
          <w:sz w:val="20"/>
        </w:rPr>
        <w:t>10.7%</w:t>
      </w:r>
      <w:r>
        <w:rPr>
          <w:rFonts w:ascii="Times New Roman;serif" w:hAnsi="Times New Roman;serif"/>
          <w:b w:val="false"/>
          <w:color w:val="000000"/>
          <w:sz w:val="20"/>
          <w:shd w:fill="FFFFFF" w:val="clear"/>
        </w:rPr>
        <w:t xml:space="preserve">, to </w:t>
      </w:r>
      <w:r>
        <w:rPr>
          <w:rFonts w:ascii="Times New Roman;serif" w:hAnsi="Times New Roman;serif"/>
          <w:b w:val="false"/>
          <w:color w:val="000000"/>
          <w:sz w:val="20"/>
        </w:rPr>
        <w:t>$7,352</w:t>
      </w:r>
      <w:r>
        <w:rPr>
          <w:color w:val="000000"/>
          <w:shd w:fill="FFFFFF" w:val="clear"/>
        </w:rPr>
        <w:t xml:space="preserve"> </w:t>
      </w:r>
      <w:r>
        <w:rPr>
          <w:rFonts w:ascii="Times New Roman;serif" w:hAnsi="Times New Roman;serif"/>
          <w:b w:val="false"/>
          <w:color w:val="000000"/>
          <w:sz w:val="20"/>
          <w:shd w:fill="FFFFFF" w:val="clear"/>
        </w:rPr>
        <w:t>million, compared to $6,644 million for the respective period in 2025, primarily driven by organic growth</w:t>
      </w:r>
      <w:r>
        <w:rPr>
          <w:color w:val="000000"/>
        </w:rPr>
        <w:t xml:space="preserve"> </w:t>
      </w:r>
      <w:r>
        <w:rPr>
          <w:rFonts w:ascii="Times New Roman;serif" w:hAnsi="Times New Roman;serif"/>
          <w:b w:val="false"/>
          <w:color w:val="000000"/>
          <w:sz w:val="20"/>
        </w:rPr>
        <w:t xml:space="preserve">with foreign currency exchange rates having an immaterial impact on net sales. </w:t>
      </w:r>
      <w:r>
        <w:rPr>
          <w:rFonts w:ascii="Times New Roman;serif" w:hAnsi="Times New Roman;serif"/>
          <w:b w:val="false"/>
          <w:color w:val="000000"/>
          <w:sz w:val="20"/>
          <w:shd w:fill="FFFFFF" w:val="clear"/>
        </w:rPr>
        <w:t>Organic net sales growth was substantially all relate</w:t>
      </w:r>
      <w:r>
        <w:rPr>
          <w:rFonts w:ascii="Times New Roman;serif" w:hAnsi="Times New Roman;serif"/>
          <w:b w:val="false"/>
          <w:color w:val="000000"/>
          <w:sz w:val="20"/>
        </w:rPr>
        <w:t>d to increased volumes with pricing having an immaterial impact.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95250"/>
                <wp:effectExtent l="0" t="0" r="0" b="0"/>
                <wp:wrapNone/>
                <wp:docPr id="36" name="Frame36"/>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35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Net sales for the </w:t>
      </w:r>
      <w:r>
        <w:rPr>
          <w:rFonts w:ascii="Times New Roman;serif" w:hAnsi="Times New Roman;serif"/>
          <w:b w:val="false"/>
          <w:color w:val="000000"/>
          <w:sz w:val="20"/>
        </w:rPr>
        <w:t>U.S. business for the three months ended March 28, 2026 increased $663 million, or 10.7%, to $6,857 million, compared to $6,194 million for the respective period in 2025, primarily due to volume growth in Prime Vendor net sales, which for the three months ended March 28, 2026 increased $653 million, or 15.3%, to $4,913 million, compared to $4,260 million for the respective period in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sales for the U.S. acute care business, which includes both Prime Vendor and non-Prime Vendor customers, increased $553 million, or 12.1%, to $5,125 million, compared to $4,572 million for the respective period in 2025, primarily driven by volume growth. Net sales for the U.S. non-acute care business increased $110 million, or 6.8%, to $1,732 million, compared to $1,622 million for the respective period in 2025, primarily driven by volume growth.</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Net sales for the </w:t>
      </w:r>
      <w:r>
        <w:rPr>
          <w:rFonts w:ascii="Times New Roman;serif" w:hAnsi="Times New Roman;serif"/>
          <w:b w:val="false"/>
          <w:color w:val="000000"/>
          <w:sz w:val="20"/>
        </w:rPr>
        <w:t xml:space="preserve">International business for the three months ended March 28, 2026 increased $45 million, or 10.0%, to $495 million, compared to $450 million for the respective period in 2025, primarily driven by favorable foreign currency exchange rates.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Cost of Goods Sold and Gross Profit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Cost of goods sold for the three months ended March 28, 2026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rPr>
        <w:t>$691</w:t>
      </w:r>
      <w:r>
        <w:rPr>
          <w:color w:val="000000"/>
          <w:shd w:fill="FFFFFF" w:val="clear"/>
        </w:rPr>
        <w:t xml:space="preserve"> </w:t>
      </w:r>
      <w:r>
        <w:rPr>
          <w:rFonts w:ascii="Times New Roman;serif" w:hAnsi="Times New Roman;serif"/>
          <w:b w:val="false"/>
          <w:color w:val="000000"/>
          <w:sz w:val="20"/>
          <w:shd w:fill="FFFFFF" w:val="clear"/>
        </w:rPr>
        <w:t xml:space="preserve">million, or </w:t>
      </w:r>
      <w:r>
        <w:rPr>
          <w:rFonts w:ascii="Times New Roman;serif" w:hAnsi="Times New Roman;serif"/>
          <w:b w:val="false"/>
          <w:color w:val="000000"/>
          <w:sz w:val="20"/>
        </w:rPr>
        <w:t>14.3%</w:t>
      </w:r>
      <w:r>
        <w:rPr>
          <w:rFonts w:ascii="Times New Roman;serif" w:hAnsi="Times New Roman;serif"/>
          <w:b w:val="false"/>
          <w:color w:val="000000"/>
          <w:sz w:val="20"/>
          <w:shd w:fill="FFFFFF" w:val="clear"/>
        </w:rPr>
        <w:t xml:space="preserve">, to $5,511 million, compared to $4,820 million for the respective period in 2025, primarily </w:t>
      </w:r>
      <w:r>
        <w:rPr>
          <w:rFonts w:ascii="Times New Roman;serif" w:hAnsi="Times New Roman;serif"/>
          <w:b w:val="false"/>
          <w:color w:val="000000"/>
          <w:sz w:val="20"/>
        </w:rPr>
        <w:t>driven by the growth i</w:t>
      </w:r>
      <w:r>
        <w:rPr>
          <w:rFonts w:ascii="Times New Roman;serif" w:hAnsi="Times New Roman;serif"/>
          <w:b w:val="false"/>
          <w:color w:val="000000"/>
          <w:sz w:val="20"/>
          <w:shd w:fill="FFFFFF" w:val="clear"/>
        </w:rPr>
        <w:t>n net sales and higher import costs due to tariffs. Gross profit margin was impacted negatively by sales to new Prime Vendor customers that typically have lower margins in early periods and impacted positively by increased sales to existin</w:t>
      </w:r>
      <w:r>
        <w:rPr>
          <w:rFonts w:ascii="Times New Roman;serif" w:hAnsi="Times New Roman;serif"/>
          <w:b w:val="false"/>
          <w:color w:val="000000"/>
          <w:sz w:val="20"/>
        </w:rPr>
        <w:t>g Prime Vendor customers as we shift sales from Supply Chain S</w:t>
      </w:r>
      <w:r>
        <w:rPr>
          <w:rFonts w:ascii="Times New Roman;serif" w:hAnsi="Times New Roman;serif"/>
          <w:b w:val="false"/>
          <w:color w:val="000000"/>
          <w:sz w:val="20"/>
          <w:shd w:fill="FFFFFF" w:val="clear"/>
        </w:rPr>
        <w:t>olutions third-party national brand products to Medline Brand products. Gross profit as a percentage of sales</w:t>
      </w:r>
      <w:r>
        <w:rPr>
          <w:color w:val="000000"/>
        </w:rPr>
        <w:t xml:space="preserve"> </w:t>
      </w:r>
      <w:r>
        <w:rPr>
          <w:rFonts w:ascii="Times New Roman;serif" w:hAnsi="Times New Roman;serif"/>
          <w:b w:val="false"/>
          <w:color w:val="000000"/>
          <w:sz w:val="20"/>
        </w:rPr>
        <w:t>decreased from 27.5% for the three months ended March 29, 2025 to 25.0% for the three months ended March 28, 2026, primarily driven by higher import costs due to tariffs.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0" w:after="0"/>
        <w:jc w:val="both"/>
        <w:rPr/>
      </w:pPr>
      <w:r>
        <w:rPr>
          <w:rFonts w:ascii="Times New Roman;serif" w:hAnsi="Times New Roman;serif"/>
          <w:b w:val="false"/>
          <w:color w:val="000000"/>
          <w:sz w:val="20"/>
        </w:rPr>
        <w:t>Selling, General, and Administrative (“SG&amp;A”) expenses</w:t>
      </w:r>
      <w:r>
        <w:rPr>
          <w:color w:val="000000"/>
          <w:shd w:fill="FFFFFF" w:val="clear"/>
        </w:rPr>
        <w:t xml:space="preserve"> </w:t>
      </w:r>
      <w:r>
        <w:rPr>
          <w:rFonts w:ascii="Times New Roman;serif" w:hAnsi="Times New Roman;serif"/>
          <w:b w:val="false"/>
          <w:color w:val="000000"/>
          <w:sz w:val="20"/>
          <w:shd w:fill="FFFFFF" w:val="clear"/>
        </w:rPr>
        <w:t xml:space="preserve">for the three months ended March 28, 2026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shd w:fill="FFFFFF" w:val="clear"/>
        </w:rPr>
        <w:t xml:space="preserve">$158 million, or 14.8%, to $1,228 million, compared to $1,070 million for the respective </w:t>
      </w:r>
      <w:r>
        <w:rPr>
          <w:rFonts w:ascii="Times New Roman;serif" w:hAnsi="Times New Roman;serif"/>
          <w:b w:val="false"/>
          <w:color w:val="000000"/>
          <w:sz w:val="20"/>
        </w:rPr>
        <w:t>period in 2025, primarily due to $92 million of higher compensation and benefit expenses related to investments in headcount, inclusive of $18 million of one-time employee bonuses related to the IPO, which are subject to an ongoing service requirement, and $27 million related to higher distribution expense, including outbound freight. The prior year also included $30 million related to the favorable settlement of an intellectual property dispute, partially offset by $24 million of credit loss expense related to certain customer receivables, neither of which recurred in 2026.</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Interest Expense, net</w:t>
        <w:br/>
      </w:r>
      <w:r>
        <w:rPr>
          <w:rFonts w:ascii="Times New Roman;serif" w:hAnsi="Times New Roman;serif"/>
          <w:b w:val="false"/>
          <w:color w:val="000000"/>
          <w:sz w:val="20"/>
        </w:rPr>
        <w:br/>
        <w:t xml:space="preserve">Interest expense, net for the three months ended </w:t>
      </w:r>
      <w:r>
        <w:rPr>
          <w:rFonts w:ascii="Times New Roman;serif" w:hAnsi="Times New Roman;serif"/>
          <w:b w:val="false"/>
          <w:color w:val="000000"/>
          <w:sz w:val="20"/>
          <w:shd w:fill="FFFFFF" w:val="clear"/>
        </w:rPr>
        <w:t>March 28, 2026</w:t>
      </w:r>
      <w:r>
        <w:rPr>
          <w:color w:val="000000"/>
        </w:rPr>
        <w:t xml:space="preserve"> </w:t>
      </w:r>
      <w:r>
        <w:rPr>
          <w:rFonts w:ascii="Times New Roman;serif" w:hAnsi="Times New Roman;serif"/>
          <w:b w:val="false"/>
          <w:color w:val="000000"/>
          <w:sz w:val="20"/>
        </w:rPr>
        <w:t>decreased $74 million, or 35.2%, to $136 million, compared to $210 million for the respective period in 2025, primarily due to 2025 repayment of Euro Term and Dollar Term loans from IPO proceeds and lower variable interest rates.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Foreign Exchange Gain (Loss), net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Foreign exchange gain (loss), net for the three months ended March 28, 2026</w:t>
      </w:r>
      <w:r>
        <w:rPr>
          <w:color w:val="000000"/>
        </w:rPr>
        <w:t xml:space="preserve"> </w:t>
      </w:r>
      <w:r>
        <w:rPr>
          <w:rFonts w:ascii="Times New Roman;serif" w:hAnsi="Times New Roman;serif"/>
          <w:b w:val="false"/>
          <w:color w:val="000000"/>
          <w:sz w:val="20"/>
        </w:rPr>
        <w:t>increased $27 million to a gain of $4 million, compared to a loss of $23 million for the respective period in 2025, primarily due to unfavorable foreign exchange rate movement on certain settled borrowings denominated in the Euro in 2025.</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Provision for income taxes for the three months ended March 28, 2026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rPr>
        <w:t>$36</w:t>
      </w:r>
      <w:r>
        <w:rPr>
          <w:color w:val="000000"/>
          <w:shd w:fill="FFFFFF" w:val="clear"/>
        </w:rPr>
        <w:t xml:space="preserve"> </w:t>
      </w:r>
      <w:r>
        <w:rPr>
          <w:rFonts w:ascii="Times New Roman;serif" w:hAnsi="Times New Roman;serif"/>
          <w:b w:val="false"/>
          <w:color w:val="000000"/>
          <w:sz w:val="20"/>
          <w:shd w:fill="FFFFFF" w:val="clear"/>
        </w:rPr>
        <w:t xml:space="preserve">million to </w:t>
      </w:r>
      <w:r>
        <w:rPr>
          <w:rFonts w:ascii="Times New Roman;serif" w:hAnsi="Times New Roman;serif"/>
          <w:b w:val="false"/>
          <w:color w:val="000000"/>
          <w:sz w:val="20"/>
        </w:rPr>
        <w:t>$52</w:t>
      </w:r>
      <w:r>
        <w:rPr>
          <w:color w:val="000000"/>
          <w:shd w:fill="FFFFFF" w:val="clear"/>
        </w:rPr>
        <w:t xml:space="preserve"> </w:t>
      </w:r>
      <w:r>
        <w:rPr>
          <w:rFonts w:ascii="Times New Roman;serif" w:hAnsi="Times New Roman;serif"/>
          <w:b w:val="false"/>
          <w:color w:val="000000"/>
          <w:sz w:val="20"/>
          <w:shd w:fill="FFFFFF" w:val="clear"/>
        </w:rPr>
        <w:t xml:space="preserve">million, compared to </w:t>
      </w:r>
      <w:r>
        <w:rPr>
          <w:rFonts w:ascii="Times New Roman;serif" w:hAnsi="Times New Roman;serif"/>
          <w:b w:val="false"/>
          <w:color w:val="000000"/>
          <w:sz w:val="20"/>
        </w:rPr>
        <w:t>$16</w:t>
      </w:r>
      <w:r>
        <w:rPr>
          <w:color w:val="000000"/>
          <w:shd w:fill="FFFFFF" w:val="clear"/>
        </w:rPr>
        <w:t xml:space="preserve"> </w:t>
      </w:r>
      <w:r>
        <w:rPr>
          <w:rFonts w:ascii="Times New Roman;serif" w:hAnsi="Times New Roman;serif"/>
          <w:b w:val="false"/>
          <w:color w:val="000000"/>
          <w:sz w:val="20"/>
          <w:shd w:fill="FFFFFF" w:val="clear"/>
        </w:rPr>
        <w:t xml:space="preserve">million for the respective period in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primarily due to tax changes associated with the Reorganization, which subjected a greater portion of earnings to corporate</w:t>
        <w:noBreakHyphen/>
        <w:t>level U.S. federal and state income taxes.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95250"/>
                <wp:effectExtent l="0" t="0" r="0" b="0"/>
                <wp:wrapNone/>
                <wp:docPr id="37" name="Frame37"/>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36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Business Segment Results of Operations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following table compares business segment net sales, Segment Adjusted EBITDA, and Segment Adjusted EBITDA margin </w:t>
      </w:r>
      <w:r>
        <w:rPr>
          <w:rFonts w:ascii="Times New Roman;serif" w:hAnsi="Times New Roman;serif"/>
          <w:b w:val="false"/>
          <w:color w:val="000000"/>
          <w:sz w:val="20"/>
          <w:shd w:fill="FFFFFF" w:val="clear"/>
        </w:rPr>
        <w:t>for the three months ended</w:t>
      </w:r>
      <w:r>
        <w:rPr>
          <w:color w:val="000000"/>
        </w:rPr>
        <w:t xml:space="preserve"> </w:t>
      </w:r>
      <w:r>
        <w:rPr>
          <w:rFonts w:ascii="Times New Roman;serif" w:hAnsi="Times New Roman;serif"/>
          <w:b w:val="false"/>
          <w:color w:val="000000"/>
          <w:sz w:val="20"/>
        </w:rPr>
        <w:t xml:space="preserve">March 28, 2026 and March 29, 2025. </w:t>
      </w:r>
    </w:p>
    <w:p>
      <w:pPr>
        <w:pStyle w:val="TextBody"/>
        <w:bidi w:val="0"/>
        <w:spacing w:before="0" w:after="0"/>
        <w:ind w:left="0" w:right="0" w:firstLine="720"/>
        <w:jc w:val="both"/>
        <w:rPr/>
      </w:pPr>
      <w:r>
        <w:rPr/>
      </w:r>
    </w:p>
    <w:tbl>
      <w:tblPr>
        <w:tblW w:w="7867" w:type="dxa"/>
        <w:jc w:val="center"/>
        <w:tblInd w:w="0" w:type="dxa"/>
        <w:tblLayout w:type="fixed"/>
        <w:tblCellMar>
          <w:top w:w="28" w:type="dxa"/>
          <w:left w:w="28" w:type="dxa"/>
          <w:bottom w:w="28" w:type="dxa"/>
          <w:right w:w="28" w:type="dxa"/>
        </w:tblCellMar>
      </w:tblPr>
      <w:tblGrid>
        <w:gridCol w:w="1020"/>
        <w:gridCol w:w="898"/>
        <w:gridCol w:w="902"/>
        <w:gridCol w:w="242"/>
        <w:gridCol w:w="687"/>
        <w:gridCol w:w="316"/>
        <w:gridCol w:w="109"/>
        <w:gridCol w:w="109"/>
        <w:gridCol w:w="109"/>
        <w:gridCol w:w="242"/>
        <w:gridCol w:w="687"/>
        <w:gridCol w:w="316"/>
        <w:gridCol w:w="109"/>
        <w:gridCol w:w="109"/>
        <w:gridCol w:w="109"/>
        <w:gridCol w:w="198"/>
        <w:gridCol w:w="426"/>
        <w:gridCol w:w="112"/>
        <w:gridCol w:w="109"/>
        <w:gridCol w:w="109"/>
        <w:gridCol w:w="109"/>
        <w:gridCol w:w="246"/>
        <w:gridCol w:w="246"/>
        <w:gridCol w:w="348"/>
      </w:tblGrid>
      <w:tr>
        <w:trPr/>
        <w:tc>
          <w:tcPr>
            <w:tcW w:w="1020"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March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March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2026 vs 2025</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44"/>
              <w:jc w:val="center"/>
              <w:rPr>
                <w:rFonts w:ascii="Times New Roman;serif" w:hAnsi="Times New Roman;serif"/>
                <w:b w:val="false"/>
                <w:color w:val="000000"/>
                <w:sz w:val="18"/>
              </w:rPr>
            </w:pPr>
            <w:r>
              <w:rPr>
                <w:rFonts w:ascii="Times New Roman;serif" w:hAnsi="Times New Roman;serif"/>
                <w:b w:val="false"/>
                <w:color w:val="000000"/>
                <w:sz w:val="18"/>
              </w:rPr>
              <w:t>% change</w:t>
            </w:r>
          </w:p>
        </w:tc>
      </w:tr>
      <w:tr>
        <w:trPr/>
        <w:tc>
          <w:tcPr>
            <w:tcW w:w="28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 except percentages)</w:t>
            </w:r>
          </w:p>
        </w:tc>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Medline Brand</w:t>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2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3,465 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3,264 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6.2%</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Segment Adjusted EBITDA</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(7.8)%</w:t>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Segment Adjusted EBITDA margin</w:t>
            </w:r>
            <w:r>
              <w:rPr>
                <w:rFonts w:ascii="Times New Roman;serif" w:hAnsi="Times New Roman;serif"/>
                <w:b w:val="false"/>
                <w:color w:val="000000"/>
                <w:sz w:val="12"/>
              </w:rPr>
              <w:t>(1)</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Supply Chain Solutions</w:t>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3,887 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3,380 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15.0%</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Segment Adjusted EBITDA</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2.7%</w:t>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Segment Adjusted EBITDA margin</w:t>
            </w:r>
            <w:r>
              <w:rPr>
                <w:rFonts w:ascii="Times New Roman;serif" w:hAnsi="Times New Roman;serif"/>
                <w:b w:val="false"/>
                <w:color w:val="000000"/>
                <w:sz w:val="12"/>
              </w:rPr>
              <w:t>(1)</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We define Segment Adjusted EBITDA margin as the Segment Adjusted EBITDA divided by segment net sales.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16—Segment Information to our unaudited condensed consolidated financial statements included under Part I, “Item 1—Financial Statements” of this Quarterly Report for additional information on our segments.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Medline Brand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Medline Brand segment net sales for the three months ended March 28, 2026 increased $201 million, or 6.2%, to $3,465 million, compared to $3,264 million for the respective period in 2025. The increase was primarily driven b</w:t>
      </w:r>
      <w:r>
        <w:rPr>
          <w:rFonts w:ascii="Times New Roman;serif" w:hAnsi="Times New Roman;serif"/>
          <w:b w:val="false"/>
          <w:color w:val="000000"/>
          <w:sz w:val="20"/>
          <w:shd w:fill="FFFFFF" w:val="clear"/>
        </w:rPr>
        <w:t>y</w:t>
      </w:r>
      <w:r>
        <w:rPr>
          <w:color w:val="000000"/>
        </w:rPr>
        <w:t xml:space="preserve"> </w:t>
      </w:r>
      <w:r>
        <w:rPr>
          <w:rFonts w:ascii="Times New Roman;serif" w:hAnsi="Times New Roman;serif"/>
          <w:b w:val="false"/>
          <w:color w:val="000000"/>
          <w:sz w:val="20"/>
        </w:rPr>
        <w:t xml:space="preserve">volume growth in Prime Vendor sales of Medline Brand products for the three months ended March 28, 2026, which increased $152 million, or 10.5%, to $1,605 million, compared to $1,453 million for the respective period in 2025.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Surgical Solutions net sales for the three months ended March 28, 2026 increased $107 million, or 7.4%, to $1,554 million, compared to $1,447 million for the respective period in 2025, primarily driven by volume growth in operating room and kitting products.</w:t>
      </w:r>
      <w:r>
        <w:rPr>
          <w:color w:val="000000"/>
          <w:shd w:fill="FFFFFF" w:val="clear"/>
        </w:rPr>
        <w:t xml:space="preserve"> </w:t>
      </w:r>
      <w:r>
        <w:rPr>
          <w:rFonts w:ascii="Times New Roman;serif" w:hAnsi="Times New Roman;serif"/>
          <w:b w:val="false"/>
          <w:color w:val="000000"/>
          <w:sz w:val="20"/>
        </w:rPr>
        <w:t>Front Line Care net sales for the three months ended March 28, 2026 increased $92 million, or 6.0%, to $1,618 million, compared to $1,526 million for the respective period in 2025, primarily driven by volume growth, including exam gloves and personal care products. Laboratory and Diagnostics net sales for the three months ended March 28, 2026 stayed approximately flat, compared to the respective period in 2025. The volume growth in Laboratory and Diagnostics was partially offset by lower seasonal demand due to a less severe respiratory illness season compared to the prior year.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Medline Brand Segment Adjusted EBITDA for the three months ended March 28, 2026 decreased $65 million, or 7.8%, to $765 million, compared to $830 million for the respective period in 2025, primarily driven by higher import costs due to tariffs and higher operating expense, including higher compensation and benefit expense related to investment in headcount and higher distribution expense, partially offset by the growth i</w:t>
      </w:r>
      <w:r>
        <w:rPr>
          <w:rFonts w:ascii="Times New Roman;serif" w:hAnsi="Times New Roman;serif"/>
          <w:b w:val="false"/>
          <w:color w:val="000000"/>
          <w:sz w:val="20"/>
          <w:shd w:fill="FFFFFF" w:val="clear"/>
        </w:rPr>
        <w:t>n net sales</w:t>
      </w:r>
      <w:r>
        <w:rPr>
          <w:rFonts w:ascii="Times New Roman;serif" w:hAnsi="Times New Roman;serif"/>
          <w:b w:val="false"/>
          <w:color w:val="000000"/>
          <w:sz w:val="20"/>
        </w:rPr>
        <w:t>. Medline Brand Segment Adjusted EBITDA margin decreased to 22.1% from 25.4%, primarily driven by higher import costs due to tariffs.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Supply Chain Solutions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Supply Chain Solutions segment net sales for the three months ended March 28, 2026 increased $507 million, or 15.0%, to $3,887 million, compared to</w:t>
      </w:r>
      <w:r>
        <w:rPr>
          <w:color w:val="000000"/>
          <w:shd w:fill="FFFFFF" w:val="clear"/>
        </w:rPr>
        <w:t xml:space="preserve"> </w:t>
      </w:r>
      <w:r>
        <w:rPr>
          <w:rFonts w:ascii="Times New Roman;serif" w:hAnsi="Times New Roman;serif"/>
          <w:b w:val="false"/>
          <w:color w:val="000000"/>
          <w:sz w:val="20"/>
          <w:shd w:fill="FFFFFF" w:val="clear"/>
        </w:rPr>
        <w:t xml:space="preserve">$3,380 </w:t>
      </w:r>
      <w:r>
        <w:rPr>
          <w:rFonts w:ascii="Times New Roman;serif" w:hAnsi="Times New Roman;serif"/>
          <w:b w:val="false"/>
          <w:color w:val="000000"/>
          <w:sz w:val="20"/>
        </w:rPr>
        <w:t>million for the respective period in 2025. The increase was primarily driven by volume growth in Prime Vendor sales for the three months ended March 28, 2026, which increased $501 million, or 17.8%, to $3,308 million, compared to $2,807 million for the respective period in 2025, including implementation of new relationships and growth with existing customers.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Supply Chain Solutions Segment Adjusted EBITDA for the three months ended March 28, 2026 increased $5 million, or 2.7%, to $187 million, compared to $182 million for the respective period in 2025. Supply Chain Solutions Segment Adjusted EBITDA margin decreased to 4.8% from 5.4%, primarily due to customer mix from new Prime Vendor signings at lower margins and higher operating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95250"/>
                <wp:effectExtent l="0" t="0" r="0" b="0"/>
                <wp:wrapNone/>
                <wp:docPr id="38" name="Frame38"/>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37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 xml:space="preserve">Non-GAAP Financial Information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believes that certain financial measures that are not presented in accordance with GAAP provide management and investors useful supplemental information that provides a meaningful view of our financial condition and results of operations across periods by removing the impact of items that management believes do not directly reflect our ongoing operating performance. Adjusted EBITDA and Adjusted EBITDA Margin are supplemental measures that are not required by or presented in accordance with GAAP. In evaluating our performance as measured by Adjusted EBITDA and Adjusted EBITDA Margin, management recognizes and considers the limitations of these measures. Other companies in our industry may calculate Adjusted EBITDA and Adjusted EBITDA Margin differently than we do or may not calculate them at all, limiting their usefulness as comparative measures. Because of these limitations, Adjusted EBITDA and Adjusted EBITDA Margin should not be considered in isolation or as substitutes for net income (loss), or any other measure calculated in accordance with GAAP, as applicable, and should be considered together with our GAAP financial measures and the reconciliations to the corresponding GAAP financial measures set forth below.</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Adjusted EBITDA and Adjusted EBITDA Margin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Adjusted EBITDA is defined as net income (loss) adjusted for (i) interest expense, net, (ii) provision for income taxes, (iii) depreciation and amortization, (iv) inventory-related adjustments, (v) stock-based compensation, (vi) litigation (gains) charges, net, (vii) transaction-related costs, and (viii) other non-core (gains) charges. Management defines Adjusted EBITDA Margin as Adjusted EBITDA divided by net sales. Adjusted EBITDA and Adjusted EBITDA Margin are key performance measures that our management uses to assess our financial performance as well as for internal planning and forecasting purposes. We consider Adjusted EBITDA and Adjusted EBITDA Margin to be meaningful performance measures to investors to evaluate our operating performance and to compare the financial results between periods.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a reconciliation of net income, the most comparable GAAP measure, to Adjusted EBITDA and Adjusted EBITDA Margin:</w:t>
      </w:r>
    </w:p>
    <w:p>
      <w:pPr>
        <w:pStyle w:val="TextBody"/>
        <w:bidi w:val="0"/>
        <w:spacing w:before="0" w:after="0"/>
        <w:ind w:left="0" w:right="0" w:firstLine="720"/>
        <w:jc w:val="both"/>
        <w:rPr/>
      </w:pPr>
      <w:r>
        <w:rPr/>
      </w:r>
    </w:p>
    <w:tbl>
      <w:tblPr>
        <w:tblW w:w="5545" w:type="dxa"/>
        <w:jc w:val="center"/>
        <w:tblInd w:w="0" w:type="dxa"/>
        <w:tblLayout w:type="fixed"/>
        <w:tblCellMar>
          <w:top w:w="28" w:type="dxa"/>
          <w:left w:w="28" w:type="dxa"/>
          <w:bottom w:w="28" w:type="dxa"/>
          <w:right w:w="28" w:type="dxa"/>
        </w:tblCellMar>
      </w:tblPr>
      <w:tblGrid>
        <w:gridCol w:w="971"/>
        <w:gridCol w:w="855"/>
        <w:gridCol w:w="858"/>
        <w:gridCol w:w="279"/>
        <w:gridCol w:w="600"/>
        <w:gridCol w:w="365"/>
        <w:gridCol w:w="109"/>
        <w:gridCol w:w="109"/>
        <w:gridCol w:w="109"/>
        <w:gridCol w:w="417"/>
        <w:gridCol w:w="230"/>
        <w:gridCol w:w="643"/>
      </w:tblGrid>
      <w:tr>
        <w:trP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r>
      <w:tr>
        <w:trPr/>
        <w:tc>
          <w:tcPr>
            <w:tcW w:w="2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 except percentages)</w:t>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March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March 29, 2025</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color w:val="000000"/>
                <w:sz w:val="18"/>
              </w:rPr>
            </w:pPr>
            <w:r>
              <w:rPr>
                <w:rFonts w:ascii="Times New Roman;serif" w:hAnsi="Times New Roman;serif"/>
                <w:b/>
                <w:color w:val="000000"/>
                <w:sz w:val="18"/>
              </w:rPr>
              <w:t>Net income</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322</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210</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247</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Inventory-related adjustments </w:t>
            </w:r>
            <w:r>
              <w:rPr>
                <w:rFonts w:ascii="Times New Roman;serif" w:hAnsi="Times New Roman;serif"/>
                <w:b w:val="false"/>
                <w:color w:val="000000"/>
                <w:sz w:val="12"/>
              </w:rPr>
              <w:t>(1)</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Stock-based compensation expense</w:t>
            </w:r>
            <w:r>
              <w:rPr>
                <w:color w:val="000000"/>
              </w:rPr>
              <w:t xml:space="preserve"> </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Litigation gains, net </w:t>
            </w:r>
            <w:r>
              <w:rPr>
                <w:rFonts w:ascii="Times New Roman;serif" w:hAnsi="Times New Roman;serif"/>
                <w:b w:val="false"/>
                <w:color w:val="000000"/>
                <w:sz w:val="12"/>
              </w:rPr>
              <w:t xml:space="preserve">(2) </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Transaction-related costs </w:t>
            </w:r>
            <w:r>
              <w:rPr>
                <w:rFonts w:ascii="Times New Roman;serif" w:hAnsi="Times New Roman;serif"/>
                <w:b w:val="false"/>
                <w:color w:val="000000"/>
                <w:sz w:val="12"/>
              </w:rPr>
              <w:t>(3)</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Other non-core charges </w:t>
            </w:r>
            <w:r>
              <w:rPr>
                <w:rFonts w:ascii="Times New Roman;serif" w:hAnsi="Times New Roman;serif"/>
                <w:b w:val="false"/>
                <w:color w:val="000000"/>
                <w:sz w:val="12"/>
              </w:rPr>
              <w:t xml:space="preserve">(4) </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 xml:space="preserve">Adjusted EBITDA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776 </w:t>
            </w:r>
          </w:p>
        </w:tc>
        <w:tc>
          <w:tcPr>
            <w:tcW w:w="3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868</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8"/>
              </w:rPr>
              <w:t xml:space="preserve">Net income margin </w:t>
            </w:r>
            <w:r>
              <w:rPr>
                <w:rFonts w:ascii="Times New Roman;serif" w:hAnsi="Times New Roman;serif"/>
                <w:b/>
                <w:color w:val="000000"/>
                <w:sz w:val="12"/>
              </w:rPr>
              <w:t>(5)</w:t>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8"/>
              </w:rPr>
              <w:t xml:space="preserve">Adjusted EBITDA Margin </w:t>
            </w:r>
            <w:r>
              <w:rPr>
                <w:rFonts w:ascii="Times New Roman;serif" w:hAnsi="Times New Roman;serif"/>
                <w:b/>
                <w:color w:val="000000"/>
                <w:sz w:val="12"/>
              </w:rPr>
              <w:t>(5)</w:t>
            </w:r>
          </w:p>
        </w:tc>
        <w:tc>
          <w:tcPr>
            <w:tcW w:w="879"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3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64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Represents inventory adjustment associated with non-cash last-in, first-out reserves.</w:t>
      </w:r>
    </w:p>
    <w:p>
      <w:pPr>
        <w:pStyle w:val="TextBody"/>
        <w:bidi w:val="0"/>
        <w:spacing w:lineRule="auto" w:line="288" w:before="0" w:after="0"/>
        <w:ind w:left="0" w:right="0" w:hanging="360"/>
        <w:jc w:val="both"/>
        <w:rPr/>
      </w:pPr>
      <w:r>
        <w:rPr>
          <w:rFonts w:ascii="Times New Roman;serif" w:hAnsi="Times New Roman;serif"/>
          <w:b w:val="false"/>
          <w:color w:val="000000"/>
          <w:sz w:val="12"/>
        </w:rPr>
        <w:t>(2)</w:t>
      </w:r>
      <w:r>
        <w:rPr>
          <w:rFonts w:ascii="Times New Roman;serif" w:hAnsi="Times New Roman;serif"/>
          <w:b w:val="false"/>
          <w:color w:val="000000"/>
          <w:sz w:val="18"/>
        </w:rPr>
        <w:t>For the three months ended March 29, 2025, represents a settlement adjustment of $(8) million related to the ethylene oxide litigation, $(30) million related to settlement of an intellectual property dispute, and $4 million related to other legal settlements.</w:t>
      </w:r>
    </w:p>
    <w:p>
      <w:pPr>
        <w:pStyle w:val="TextBody"/>
        <w:bidi w:val="0"/>
        <w:spacing w:lineRule="auto" w:line="288" w:before="0" w:after="0"/>
        <w:ind w:left="0" w:right="0" w:hanging="360"/>
        <w:jc w:val="both"/>
        <w:rPr/>
      </w:pPr>
      <w:r>
        <w:rPr>
          <w:rFonts w:ascii="Times New Roman;serif" w:hAnsi="Times New Roman;serif"/>
          <w:b w:val="false"/>
          <w:color w:val="000000"/>
          <w:sz w:val="12"/>
        </w:rPr>
        <w:t>(3)</w:t>
      </w:r>
      <w:r>
        <w:rPr>
          <w:rFonts w:ascii="Times New Roman;serif" w:hAnsi="Times New Roman;serif"/>
          <w:b w:val="false"/>
          <w:color w:val="000000"/>
          <w:sz w:val="18"/>
        </w:rPr>
        <w:t>For the three months ended March 28, 2026 and March 29, 2025, respectively, includes $27 million and $4 million of expenses related to our IPO and subsequent offerings, consisting of legal, accounting, and advisory fees, as well as one-time employee bonuses, which are subject to an ongoing service requirement, and $8 million and $8 million of acquisition and integration-related costs and adjustments.</w:t>
      </w:r>
    </w:p>
    <w:p>
      <w:pPr>
        <w:pStyle w:val="TextBody"/>
        <w:bidi w:val="0"/>
        <w:spacing w:lineRule="auto" w:line="288" w:before="0" w:after="0"/>
        <w:ind w:left="0" w:right="0" w:hanging="360"/>
        <w:jc w:val="both"/>
        <w:rPr/>
      </w:pPr>
      <w:r>
        <w:rPr>
          <w:rFonts w:ascii="Times New Roman;serif" w:hAnsi="Times New Roman;serif"/>
          <w:b w:val="false"/>
          <w:color w:val="000000"/>
          <w:sz w:val="12"/>
        </w:rPr>
        <w:t>(4)</w:t>
      </w:r>
      <w:r>
        <w:rPr>
          <w:rFonts w:ascii="Times New Roman;serif" w:hAnsi="Times New Roman;serif"/>
          <w:b w:val="false"/>
          <w:color w:val="000000"/>
          <w:sz w:val="18"/>
        </w:rPr>
        <w:t>For the three months ended March 28, 2026 and March 29, 2025, respectively, includes $9 million and $5 million of other project costs; $(4) million and $22 million of realized and unrealized foreign exchange and investment (gains) losses; and $(4) million and $24 million credit (recoveries) loss expense related to certain customer receivables. The three months ended March 28, 2026 also includes $8 million of losses on disposal of assets and exits.</w:t>
      </w:r>
    </w:p>
    <w:p>
      <w:pPr>
        <w:pStyle w:val="TextBody"/>
        <w:bidi w:val="0"/>
        <w:spacing w:lineRule="auto" w:line="288" w:before="0" w:after="0"/>
        <w:ind w:left="0" w:right="0" w:hanging="360"/>
        <w:jc w:val="both"/>
        <w:rPr/>
      </w:pPr>
      <w:r>
        <w:rPr>
          <w:rFonts w:ascii="Times New Roman;serif" w:hAnsi="Times New Roman;serif"/>
          <w:b w:val="false"/>
          <w:color w:val="000000"/>
          <w:sz w:val="12"/>
        </w:rPr>
        <w:t>(5)</w:t>
      </w:r>
      <w:r>
        <w:rPr>
          <w:rFonts w:ascii="Times New Roman;serif" w:hAnsi="Times New Roman;serif"/>
          <w:b w:val="false"/>
          <w:color w:val="000000"/>
          <w:sz w:val="18"/>
        </w:rPr>
        <w:t>Net income margin represents net income divided by net sales and Adjusted EBITDA Margin represents Adjusted EBITDA divided by net sales.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95250"/>
                <wp:effectExtent l="0" t="0" r="0" b="0"/>
                <wp:wrapNone/>
                <wp:docPr id="39" name="Frame39"/>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38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Our primary sources of liquidity are our cash and cash equivalents, our cash flows from operations, and our revolving credit facility. As of March 28, 2026, we had cash and cash equivalents of </w:t>
      </w:r>
      <w:r>
        <w:rPr>
          <w:rFonts w:ascii="Times New Roman;serif" w:hAnsi="Times New Roman;serif"/>
          <w:b w:val="false"/>
          <w:color w:val="000000"/>
          <w:sz w:val="20"/>
          <w:shd w:fill="FFFFFF" w:val="clear"/>
        </w:rPr>
        <w:t>$2,236 million</w:t>
      </w:r>
      <w:r>
        <w:rPr>
          <w:color w:val="000000"/>
        </w:rPr>
        <w:t xml:space="preserve"> </w:t>
      </w:r>
      <w:r>
        <w:rPr>
          <w:rFonts w:ascii="Times New Roman;serif" w:hAnsi="Times New Roman;serif"/>
          <w:b w:val="false"/>
          <w:color w:val="000000"/>
          <w:sz w:val="20"/>
        </w:rPr>
        <w:t xml:space="preserve">and available liquidity under our Revolving Credit Facility of </w:t>
      </w:r>
      <w:r>
        <w:rPr>
          <w:rFonts w:ascii="Times New Roman;serif" w:hAnsi="Times New Roman;serif"/>
          <w:b w:val="false"/>
          <w:color w:val="000000"/>
          <w:sz w:val="20"/>
          <w:shd w:fill="FFFFFF" w:val="clear"/>
        </w:rPr>
        <w:t xml:space="preserve">$946 million.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primary uses of cash include product purchases, operating costs, personnel-related costs, capital expenditures related to property and equipment, acquisitions, payments of interest under our indebtedness, and distributions to partners.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Our net capital expenditures were </w:t>
      </w:r>
      <w:r>
        <w:rPr>
          <w:rFonts w:ascii="Times New Roman;serif" w:hAnsi="Times New Roman;serif"/>
          <w:b w:val="false"/>
          <w:color w:val="000000"/>
          <w:sz w:val="20"/>
          <w:shd w:fill="FFFFFF" w:val="clear"/>
        </w:rPr>
        <w:t>$96 million and</w:t>
      </w:r>
      <w:r>
        <w:rPr>
          <w:color w:val="000000"/>
        </w:rPr>
        <w:t xml:space="preserve"> </w:t>
      </w:r>
      <w:r>
        <w:rPr>
          <w:rFonts w:ascii="Times New Roman;serif" w:hAnsi="Times New Roman;serif"/>
          <w:b w:val="false"/>
          <w:color w:val="000000"/>
          <w:sz w:val="20"/>
        </w:rPr>
        <w:t xml:space="preserve">$98 million </w:t>
      </w:r>
      <w:r>
        <w:rPr>
          <w:rFonts w:ascii="Times New Roman;serif" w:hAnsi="Times New Roman;serif"/>
          <w:b w:val="false"/>
          <w:color w:val="000000"/>
          <w:sz w:val="20"/>
          <w:shd w:fill="FFFFFF" w:val="clear"/>
        </w:rPr>
        <w:t>for the three months ended</w:t>
      </w:r>
      <w:r>
        <w:rPr>
          <w:color w:val="000000"/>
        </w:rPr>
        <w:t xml:space="preserve"> </w:t>
      </w:r>
      <w:r>
        <w:rPr>
          <w:rFonts w:ascii="Times New Roman;serif" w:hAnsi="Times New Roman;serif"/>
          <w:b w:val="false"/>
          <w:color w:val="000000"/>
          <w:sz w:val="20"/>
        </w:rPr>
        <w:t>March 28, 2026 and March 29, 2025, respectively. These include the continued enhancements and automation in our distribution centers and investments in our manufacturing facilities in Mexico and other regions. We anticipate the net capital expenditures for the fiscal year 2026 to be approximately $500 million, primarily related to the expansion of manufacturing facilities and distribution centers and further investment in automation.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that our cash and cash equivalents on hand, cash flows from operations, and borrowing availability under our Revolving Credit Facility will fund our ongoing working capital, investing and financing requirements sufficiently for at least the next year and the foreseeable future thereafter. Our ability to generate sufficient cash flows from operations is, however, subject to many risks and uncertainties, including future economic trends and conditions, demand for our products and services, foreign currency exchange rates and other risks and uncertainties applicable to our business.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After completion of the IPO, Medline Inc. became our holding company and has no material assets other than its ownership of Common Units in Medline Holdings. Medline Inc. has no independent means of generating net sales. Medline Inc. intends to cause Medline Holdings to make distributions and payments to its holders of Units, including Medline Inc. and the Continuing Unitholders, in an amount sufficient to cover all applicable taxes at assumed tax rates, expenses, payments under the tax receivable agreement and dividends, if any, declared by it. Deterioration in the financial condition, earnings or cash flow of Medline Holdings and its subsidiaries for any reason could limit or impair their ability to pay such distributions. Additionally, the terms of our financing arrangements, including the Credit Agreement that governs the Senior Secured Credit Facilities and the indentures governing the Senior Notes (as defined herein), contain covenants that may restrict Medline Holdings and its subsidiaries from paying such distributions, subject to certain exceptions. Further, Medline Holdings is generally prohibited under Delaware law fr</w:t>
      </w:r>
      <w:r>
        <w:rPr>
          <w:rFonts w:ascii="Times New Roman;serif" w:hAnsi="Times New Roman;serif"/>
          <w:b w:val="false"/>
          <w:color w:val="000000"/>
          <w:sz w:val="20"/>
        </w:rPr>
        <w:t>om making a distribution to a limited partner to the extent that, at the time of the distribution, after giving effect to the distribution, liabilities of Medline Holdings (with certain exceptions) exceed the fair value of its assets. Subsidiaries of Medline Holdings are generally subject to similar legal limitations on their ability to make distributions to Medline Holdings. See Part I, “Item 1A—Risk Factors—Risks Related to Our Organizational Structure—Medline Inc. is a holding company and its only material assets are its equity interests held directly or indirectly through wholly owned subsidiaries in Medline Holdings, and it is accordingly dependent upon distributions from Medline Holdings to pay taxes, make payments under the tax receivable agreement and pay any dividends.” of our 2025 Form 10-K.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market conditions warrant, we and our equity holders, including our Principal Stockholders, their respective affiliates and members of our management, may from time to time seek to repurchase our outstanding debt securities or loans, including the Senior Notes and borrowings under our Senior Secured Credit Facilities, in privately negotiated or open market transactions, by tender offer or otherwise, and such repurchases may be at prices below par and may constitute a material portion of the tranche of debt being repurchased. Subject to any applicable limitations contained in the agreements governing our indebtedness, any purchases made by us may be funded by the use of cash on our balance sheet or the incurrence of new secured or unsecured debt, including borrowings under our credit facilities. The amounts involved in any such purchase transactions, individually or in the aggregate, may be material. Any such purchases may be with respect to a substantial amount of a particular class or series of debt, with the attendant reduction in the trading liquidity of such class or series. In addition, any such purchases made at prices below the “adjusted issue price” (as defined for U.S. federal income tax purposes) may result in taxable cancellation of indebtedness income to us, which amounts may be material, and in related adverse tax consequences to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95250"/>
                <wp:effectExtent l="0" t="0" r="0" b="0"/>
                <wp:wrapNone/>
                <wp:docPr id="40" name="Frame40"/>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39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sets forth the major components of our unaudited Condensed Consolidated Statements of Cash Flows for the periods presented:</w:t>
      </w:r>
    </w:p>
    <w:tbl>
      <w:tblPr>
        <w:tblW w:w="8319" w:type="dxa"/>
        <w:jc w:val="center"/>
        <w:tblInd w:w="0" w:type="dxa"/>
        <w:tblLayout w:type="fixed"/>
        <w:tblCellMar>
          <w:top w:w="28" w:type="dxa"/>
          <w:left w:w="28" w:type="dxa"/>
          <w:bottom w:w="28" w:type="dxa"/>
          <w:right w:w="28" w:type="dxa"/>
        </w:tblCellMar>
      </w:tblPr>
      <w:tblGrid>
        <w:gridCol w:w="1880"/>
        <w:gridCol w:w="1660"/>
        <w:gridCol w:w="1665"/>
        <w:gridCol w:w="335"/>
        <w:gridCol w:w="723"/>
        <w:gridCol w:w="187"/>
        <w:gridCol w:w="145"/>
        <w:gridCol w:w="145"/>
        <w:gridCol w:w="145"/>
        <w:gridCol w:w="145"/>
        <w:gridCol w:w="328"/>
        <w:gridCol w:w="704"/>
        <w:gridCol w:w="257"/>
      </w:tblGrid>
      <w:tr>
        <w:trPr/>
        <w:tc>
          <w:tcPr>
            <w:tcW w:w="1880"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1289" w:type="dxa"/>
            <w:gridSpan w:val="3"/>
            <w:tcBorders/>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March 28, 2026</w:t>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144"/>
              <w:jc w:val="center"/>
              <w:rPr>
                <w:rFonts w:ascii="Times New Roman;serif" w:hAnsi="Times New Roman;serif"/>
                <w:b w:val="false"/>
                <w:color w:val="000000"/>
                <w:sz w:val="18"/>
              </w:rPr>
            </w:pPr>
            <w:r>
              <w:rPr>
                <w:rFonts w:ascii="Times New Roman;serif" w:hAnsi="Times New Roman;serif"/>
                <w:b w:val="false"/>
                <w:color w:val="000000"/>
                <w:sz w:val="18"/>
              </w:rPr>
              <w:t>March 29, 2025</w:t>
            </w:r>
          </w:p>
        </w:tc>
      </w:tr>
      <w:tr>
        <w:trPr/>
        <w:tc>
          <w:tcPr>
            <w:tcW w:w="5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8"/>
              </w:rPr>
            </w:pPr>
            <w:r>
              <w:rPr>
                <w:rFonts w:ascii="Times New Roman;serif" w:hAnsi="Times New Roman;serif"/>
                <w:b/>
                <w:i/>
                <w:color w:val="000000"/>
                <w:sz w:val="18"/>
              </w:rPr>
              <w:t>(in millions)</w:t>
            </w:r>
          </w:p>
        </w:tc>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and cash equivalents and restricted cash provided by (used in):</w:t>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activities</w:t>
            </w:r>
          </w:p>
        </w:tc>
        <w:tc>
          <w:tcPr>
            <w:tcW w:w="3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682 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activities</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activities</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cash and cash equivalents and restricted cash</w:t>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296 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590 </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Cash Flows provided by Operating Activities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Net cash provided by operating activities was $412 million and $682 million </w:t>
      </w:r>
      <w:r>
        <w:rPr>
          <w:rFonts w:ascii="Times New Roman;serif" w:hAnsi="Times New Roman;serif"/>
          <w:b w:val="false"/>
          <w:color w:val="000000"/>
          <w:sz w:val="20"/>
          <w:shd w:fill="FFFFFF" w:val="clear"/>
        </w:rPr>
        <w:t>for the three months ended</w:t>
      </w:r>
      <w:r>
        <w:rPr>
          <w:color w:val="000000"/>
        </w:rPr>
        <w:t xml:space="preserve"> </w:t>
      </w:r>
      <w:r>
        <w:rPr>
          <w:rFonts w:ascii="Times New Roman;serif" w:hAnsi="Times New Roman;serif"/>
          <w:b w:val="false"/>
          <w:color w:val="000000"/>
          <w:sz w:val="20"/>
        </w:rPr>
        <w:t xml:space="preserve">March 28, 2026 and March 29, 2025, respectively.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Net cash provided by operating activities for the three months ended March 28, 2026 wa</w:t>
      </w:r>
      <w:r>
        <w:rPr>
          <w:rFonts w:ascii="Times New Roman;serif" w:hAnsi="Times New Roman;serif"/>
          <w:b w:val="false"/>
          <w:color w:val="000000"/>
          <w:sz w:val="20"/>
          <w:shd w:fill="FFFFFF" w:val="clear"/>
        </w:rPr>
        <w:t>s prima</w:t>
      </w:r>
      <w:r>
        <w:rPr>
          <w:rFonts w:ascii="Times New Roman;serif" w:hAnsi="Times New Roman;serif"/>
          <w:b w:val="false"/>
          <w:color w:val="000000"/>
          <w:sz w:val="20"/>
        </w:rPr>
        <w:t xml:space="preserve">rily driven by </w:t>
      </w:r>
      <w:r>
        <w:rPr>
          <w:rFonts w:ascii="Times New Roman;serif" w:hAnsi="Times New Roman;serif"/>
          <w:b w:val="false"/>
          <w:color w:val="000000"/>
          <w:sz w:val="20"/>
          <w:shd w:fill="FFFFFF" w:val="clear"/>
        </w:rPr>
        <w:t xml:space="preserve">net income </w:t>
      </w:r>
      <w:r>
        <w:rPr>
          <w:rFonts w:ascii="Times New Roman;serif" w:hAnsi="Times New Roman;serif"/>
          <w:b w:val="false"/>
          <w:color w:val="000000"/>
          <w:sz w:val="20"/>
        </w:rPr>
        <w:t>excluding non-cash items, partially offset by changes in working capital. Changes in working capital resulted in net cash used of $161 million, which is primarily driven by an increase in trade accounts receivable of $146 million due to sales growth and an increase in inventories of $42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for the three months ended March 29, 2025 was primarily driven by net income excluding non-cash items. Changes in working capital resulted in net cash provided of $5 million, which is primarily driven by an increase in trade accounts receivable of $98 million, partially offset by a decrease in inventories of $71 million and an increase in accounts payable of $35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Cash Flows used in Investing Activities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br/>
        <w:t>For the three months ended March 28, 2026, net cash used in investing activities was driven by net capital expenditures of $96 million.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br/>
        <w:t>For the three months ended March 29, 2025, net cash used in investing activities was driven by net capital expenditures of $98 million, partially offset by $6 million related to acquisitions of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Cash Flows used in Financing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28, 2026, net cash used in financing activities was primarily driven by $10 million of distributions to noncontrolling interests and $3 million of payments related to offering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29, 2025, net cash used in financing activities was driven by Class B Unit repurchases of $9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Indebtedness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of March 28, 2026, our total indebtedness was $12,755 million, including outstanding borrowings of senior unsecured notes with a principal amount of $2,500 million, senior secured notes with a principal amount of $6,000 million, and $4,255 million under a senior secured term loan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95250"/>
                <wp:effectExtent l="0" t="0" r="0" b="0"/>
                <wp:wrapNone/>
                <wp:docPr id="41" name="Frame41"/>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40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long-term debt contains affirmative and negative covenants. We were in compliance with all such covenants as of March 28, 2026. The springing financial covenant under the Credit Agreement, which is applicable solely to the Revolving Credit Facility, requires compliance with a maximum ratio of consolidated first lien net indebtedness to Consolidated EBITDA (as defined in the Credit Agreement) of 8.3x, which ratio is tested on the last day of any fiscal quarter only if the aggregate principal amount of borrowings (excluding outstanding letters of credit (whether or not cash collateralized)) under the Revolving Credit Facility exceeds 35% of the greater of (a) the total amount of commitments under the Revolving Credit Facility on such day and (b) $1,000 million. While the springing financial covenant was not subject to testing as of March 28, 2026 as we did not have any outstanding borrowings under the Revolving Credit Facility at such time, our ratio of consolidated first lien net indebtedness to Consolidated EBITDA as of the last day of any applicable fiscal quarter has not exceeded the maximum ratio permitted under the springing financial covenant. The failure to satisfy this ratio would impact our ability to borrow amounts committed under our Revolving Credit Facility which could have a material impact on our liquidity.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5—Credit Agreements and Borrowings to our unaudited condensed consolidated financial statements included under Part I, “Item 1—Financial Statements” of this Quarterly Report for additional information on our indebtedness.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use interest rate derivatives to add stability to interest expense and to manage our exposure to interest rate movements. See Note 11—Derivatives and Hedging Activities Risk Management to our unaudited condensed consolidated financial statements included under Part I, “Item 1—Financial Statements” of this Quarterly Report, and Part II, “Item 7—Management’s Discussion and Analysis of Financial Condition and Results of Operations —Cash Flow Hedges of Interest Rate Risk” of our 2025 Form 10-K.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Tax Receivable Agreement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Reorganization, we entered into a TRA with certain of our pre-IPO owners. As of March 28, 2026, we have recorded a TRA liability of $4,021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7—Tax Receivable Agreement and Note 15—Related Party to our unaudited condensed consolidated financial statements included under Part I, “Item 1—Financial Statements” of this Quarterly Report, and Part II, “Item 7—Management’s Discussion and Analysis of Financial Condition and Results of Operations —Tax Receivable Agreement” of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Contractual Obligations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28, 2026, there were no material changes to the contractual obligations from those disclosed in our 2025 Form 10-K.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regarding debt and non-cancellable contractual service and purchases obligations, see Note 5—Credit Agreements and Borrowings and Note 9—Commitment and Contingencies to our unaudited condensed consolidated financial statements included under Part I, “Item 1—Financial Statements” of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our critical accounting policies and estimates from those disclosed in Part II, “Item 7—Management’s Discussion and Analysis of Financial Condition and Results of Operations—Critical Accounting Estimates” of our 2025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Recently Adopted Accounting Standards and Recently Issued Accounting Standards Not Yet Adopted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a discussion of recently adopted accounting standards and recently issued accounting standards not yet adopted, please see Note 1—Nature of Business and Significant Accounting Policies to our unaudited condensed consolidated financial statements included under Part I, “Item 1—Financial Statements” of this Quarterly Report.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Item 3 -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has been no material change in our exposure to market risks as disclosed in the 2025 Form 10-K.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95250"/>
                <wp:effectExtent l="0" t="0" r="0" b="0"/>
                <wp:wrapNone/>
                <wp:docPr id="42" name="Frame42"/>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41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with the participation of the Company’s principal executive officer and principal financial officer, has evaluated the effectiveness of our disclosure controls and procedures, as defined in Rules 13a-15(e) and 15d-15(e) under the Exchange Act, as of the end of the period covered by this Quarterly Report.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Based on that evaluation, the Company’s principal executive officer and principal financial officer concluded that, as of the end of the period covered by this Quarterly Report, the Company’s disclosure controls and procedures were effective to provide reasonable assurance that the information we are required to disclose in reports that we file or submit under the Exchange Act is (i) recorded, processed, summarized, and reported within the time periods specified in SEC rules and forms, and (ii) accumulated and communicated to our management, including our principal executive officer and principal financial officer, as appropriate, to allow timely decisions regarding required disclosure.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controls over financial reporting identified in connection with the evaluation required by Rules 13a-15(d) and 15d-15(d) of the Exchange Act during the quarter ended March 28, 2026 that have materially affected, or are reasonably likely to materially affect, our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Limitations on Effectiveness of Controls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including our principal executive officer and principal financial officer, believes that our disclosure controls and procedures and internal control over financial reporting are designed to provide reasonable assurance of achieving their objectives and are effective at the reasonable assurance level. However, the effectiveness of any internal control over financial reporting is subject to inherent limitations, including the exercise of judgment in designing, implementing, operating and evaluating the controls and procedures, and the inability to eliminate misconduct completely. Because of the inherent limitations in all control systems, no evaluation of controls can provide absolute assurance that all control issues and instances of fraud, if any, have been detected.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II—OTHER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we are subject to claims and legal actions arising in the ordinary course of business. We intend to vigorously defend ourselves against our outstanding litigation and do not currently believe that the outcome of any such litigation will have a material adverse effect on our business, results of operations and financial condition.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litigation, including those described herein, plaintiffs may seek various remedies, including, without limitation: declaratory and/or injunctive relief; compensatory or punitive damages; restitution, disgorgement, civil penalties, abatement, attorneys’ fees, costs, and/or other relief. Settlement demands may seek significant monetary and other remedies, or otherwise be on terms that we do not consider reasonable under the circumstances. In addition, awards against and settlements by our competitors or publicity associated with our current litigation could incentivize parties to bring additional claims against us.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9—Commitments and Contingencies to our unaudited condensed consolidated financial statements included under Part I, “Item 1—Financial Statements” of this Quarterly Report, which is incorporated by reference into this Item 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95250"/>
                <wp:effectExtent l="0" t="0" r="0" b="0"/>
                <wp:wrapNone/>
                <wp:docPr id="43" name="Frame43"/>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42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no material changes for the period covered by this Quarterly Report to the risk factors disclosed in Part I, “Item 1A—Risk Factors” of our 2025 Form 10-K.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December 18, 2025, we completed the IPO of our Class A common stock in which we issued and sold 248,439,654 shares of Class A common stock (including shares issued pursuant to the exercise in full of the underwriters’ option to purchase additional shares) for cash consideration of $29.00 per share. The shares sold in the offering were registered under the Securities Act pursuant to our Registration Statement on Form S-1 (File No. 333-291112) which was declared effective by the SEC on December 16, 2025. There has been no change in the use of proceeds from our IPO as described in the 2025 Form 10-K.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Item 3. Defaults Upon Senior Securities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Trading Plan Arrangements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summarizes the terms of trading arrangements adopted or terminated by our officers or directors during the three months ended March 28, 2026. All of the trading arrangements listed below are intended to satisfy the affirmative defense conditions of Rule 10b5-1(c).</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33"/>
        <w:gridCol w:w="295"/>
        <w:gridCol w:w="302"/>
        <w:gridCol w:w="645"/>
        <w:gridCol w:w="531"/>
        <w:gridCol w:w="538"/>
        <w:gridCol w:w="543"/>
        <w:gridCol w:w="543"/>
        <w:gridCol w:w="544"/>
        <w:gridCol w:w="723"/>
        <w:gridCol w:w="579"/>
        <w:gridCol w:w="580"/>
        <w:gridCol w:w="1123"/>
        <w:gridCol w:w="1123"/>
        <w:gridCol w:w="1603"/>
      </w:tblGrid>
      <w:tr>
        <w:trPr/>
        <w:tc>
          <w:tcPr>
            <w:tcW w:w="53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r>
      <w:tr>
        <w:trPr/>
        <w:tc>
          <w:tcPr>
            <w:tcW w:w="1130" w:type="dxa"/>
            <w:gridSpan w:val="3"/>
            <w:tcBorders>
              <w:top w:val="single" w:sz="8" w:space="0" w:color="000000"/>
              <w:left w:val="single" w:sz="8" w:space="0" w:color="000000"/>
              <w:bottom w:val="single" w:sz="8" w:space="0" w:color="000000"/>
            </w:tcBorders>
            <w:shd w:fill="D9D9D9" w:val="clear"/>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Name</w:t>
            </w:r>
          </w:p>
        </w:tc>
        <w:tc>
          <w:tcPr>
            <w:tcW w:w="1714" w:type="dxa"/>
            <w:gridSpan w:val="3"/>
            <w:tcBorders>
              <w:top w:val="single" w:sz="8" w:space="0" w:color="000000"/>
              <w:left w:val="single" w:sz="8" w:space="0" w:color="000000"/>
              <w:bottom w:val="single" w:sz="8" w:space="0" w:color="000000"/>
            </w:tcBorders>
            <w:shd w:fill="D9D9D9" w:val="clear"/>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Title</w:t>
            </w:r>
          </w:p>
        </w:tc>
        <w:tc>
          <w:tcPr>
            <w:tcW w:w="1630" w:type="dxa"/>
            <w:gridSpan w:val="3"/>
            <w:tcBorders>
              <w:top w:val="single" w:sz="8" w:space="0" w:color="000000"/>
              <w:left w:val="single" w:sz="8" w:space="0" w:color="000000"/>
            </w:tcBorders>
            <w:shd w:fill="D9D9D9" w:val="clear"/>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Date of Adoption or Termination</w:t>
            </w:r>
          </w:p>
        </w:tc>
        <w:tc>
          <w:tcPr>
            <w:tcW w:w="1882" w:type="dxa"/>
            <w:gridSpan w:val="3"/>
            <w:tcBorders>
              <w:top w:val="single" w:sz="8" w:space="0" w:color="000000"/>
              <w:left w:val="single" w:sz="8" w:space="0" w:color="000000"/>
            </w:tcBorders>
            <w:shd w:fill="D9D9D9" w:val="clear"/>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Duration of Trading Arrangement</w:t>
            </w:r>
          </w:p>
        </w:tc>
        <w:tc>
          <w:tcPr>
            <w:tcW w:w="3849" w:type="dxa"/>
            <w:gridSpan w:val="3"/>
            <w:tcBorders>
              <w:top w:val="single" w:sz="8" w:space="0" w:color="000000"/>
              <w:left w:val="single" w:sz="8" w:space="0" w:color="000000"/>
              <w:right w:val="single" w:sz="8" w:space="0" w:color="000000"/>
            </w:tcBorders>
            <w:shd w:fill="D9D9D9" w:val="clear"/>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Number of Shares to be Sold Pursuant to the Trading Arrangement*</w:t>
            </w:r>
          </w:p>
        </w:tc>
      </w:tr>
      <w:tr>
        <w:trPr/>
        <w:tc>
          <w:tcPr>
            <w:tcW w:w="1130" w:type="dxa"/>
            <w:gridSpan w:val="3"/>
            <w:vMerge w:val="restart"/>
            <w:tcBorders>
              <w:left w:val="single" w:sz="8" w:space="0" w:color="000000"/>
              <w:right w:val="single" w:sz="8" w:space="0" w:color="000000"/>
            </w:tcBorders>
            <w:tcMar>
              <w:top w:w="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James M. Boyle</w:t>
            </w:r>
          </w:p>
        </w:tc>
        <w:tc>
          <w:tcPr>
            <w:tcW w:w="1714" w:type="dxa"/>
            <w:gridSpan w:val="3"/>
            <w:vMerge w:val="restart"/>
            <w:tcBorders>
              <w:left w:val="single" w:sz="8" w:space="0" w:color="000000"/>
            </w:tcBorders>
            <w:tcMar>
              <w:top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c>
          <w:tcPr>
            <w:tcW w:w="16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Adopted on March 12, 2026</w:t>
            </w:r>
          </w:p>
        </w:tc>
        <w:tc>
          <w:tcPr>
            <w:tcW w:w="188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June 16, 2026 – March 31, 2027</w:t>
            </w:r>
          </w:p>
        </w:tc>
        <w:tc>
          <w:tcPr>
            <w:tcW w:w="38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Up to 24,313 shares of Class A common stock</w:t>
            </w:r>
          </w:p>
        </w:tc>
      </w:tr>
      <w:tr>
        <w:trPr/>
        <w:tc>
          <w:tcPr>
            <w:tcW w:w="1130" w:type="dxa"/>
            <w:gridSpan w:val="3"/>
            <w:vMerge w:val="continue"/>
            <w:tcBorders>
              <w:left w:val="single" w:sz="8" w:space="0" w:color="000000"/>
              <w:right w:val="single" w:sz="8" w:space="0" w:color="000000"/>
            </w:tcBorders>
            <w:tcMar>
              <w:top w:w="0" w:type="dxa"/>
              <w:bottom w:w="0" w:type="dxa"/>
            </w:tcMar>
            <w:vAlign w:val="center"/>
          </w:tcPr>
          <w:p>
            <w:pPr>
              <w:pStyle w:val="Normal"/>
              <w:bidi w:val="0"/>
              <w:jc w:val="left"/>
              <w:rPr/>
            </w:pPr>
            <w:r>
              <w:rPr/>
            </w:r>
          </w:p>
        </w:tc>
        <w:tc>
          <w:tcPr>
            <w:tcW w:w="1714"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16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Adopted on March 12, 2026**</w:t>
            </w:r>
          </w:p>
        </w:tc>
        <w:tc>
          <w:tcPr>
            <w:tcW w:w="188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June 16, 2026 – March 31, 2027</w:t>
            </w:r>
          </w:p>
        </w:tc>
        <w:tc>
          <w:tcPr>
            <w:tcW w:w="38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Up to 514,876 shares of Class A common stock</w:t>
            </w:r>
          </w:p>
        </w:tc>
      </w:tr>
      <w:tr>
        <w:trPr/>
        <w:tc>
          <w:tcPr>
            <w:tcW w:w="11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Michael B. Drazin</w:t>
            </w:r>
          </w:p>
        </w:tc>
        <w:tc>
          <w:tcPr>
            <w:tcW w:w="17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16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Adopted on March 10, 2026</w:t>
            </w:r>
          </w:p>
        </w:tc>
        <w:tc>
          <w:tcPr>
            <w:tcW w:w="188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June 16, 2026 – July 30, 2027</w:t>
            </w:r>
          </w:p>
        </w:tc>
        <w:tc>
          <w:tcPr>
            <w:tcW w:w="38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Up to 486,028 shares of Class A common stock</w:t>
            </w:r>
          </w:p>
        </w:tc>
      </w:tr>
      <w:tr>
        <w:trPr/>
        <w:tc>
          <w:tcPr>
            <w:tcW w:w="11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Stephen L. Miller</w:t>
            </w:r>
          </w:p>
        </w:tc>
        <w:tc>
          <w:tcPr>
            <w:tcW w:w="17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Operating Officer</w:t>
            </w:r>
          </w:p>
        </w:tc>
        <w:tc>
          <w:tcPr>
            <w:tcW w:w="16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Adopted on March 11, 2026</w:t>
            </w:r>
          </w:p>
        </w:tc>
        <w:tc>
          <w:tcPr>
            <w:tcW w:w="188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June 16, 2026 – December 31, 2026</w:t>
            </w:r>
          </w:p>
        </w:tc>
        <w:tc>
          <w:tcPr>
            <w:tcW w:w="38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Up to 100% of the shares of Class A common stock issued upon the vesting and exchange of 808,451 Incentive Units</w:t>
            </w:r>
          </w:p>
        </w:tc>
      </w:tr>
      <w:tr>
        <w:trPr/>
        <w:tc>
          <w:tcPr>
            <w:tcW w:w="1130"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Alex M. Liberman</w:t>
            </w:r>
          </w:p>
        </w:tc>
        <w:tc>
          <w:tcPr>
            <w:tcW w:w="1714" w:type="dxa"/>
            <w:gridSpan w:val="3"/>
            <w:vMerge w:val="restart"/>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Legal Officer</w:t>
            </w:r>
          </w:p>
        </w:tc>
        <w:tc>
          <w:tcPr>
            <w:tcW w:w="16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Adopted on March 11, 2026</w:t>
            </w:r>
          </w:p>
        </w:tc>
        <w:tc>
          <w:tcPr>
            <w:tcW w:w="188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June 16, 2026 – December 31, 2026</w:t>
            </w:r>
          </w:p>
        </w:tc>
        <w:tc>
          <w:tcPr>
            <w:tcW w:w="38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Up to 226,923 shares of Class A common stock</w:t>
            </w:r>
          </w:p>
        </w:tc>
      </w:tr>
      <w:tr>
        <w:trPr/>
        <w:tc>
          <w:tcPr>
            <w:tcW w:w="1130"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714"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6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Adopted on March 11, 2026**</w:t>
            </w:r>
          </w:p>
        </w:tc>
        <w:tc>
          <w:tcPr>
            <w:tcW w:w="188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June 16, 2026 – December 31, 2026</w:t>
            </w:r>
          </w:p>
        </w:tc>
        <w:tc>
          <w:tcPr>
            <w:tcW w:w="38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Up to 234,177 shares of Class A common stock</w:t>
            </w:r>
          </w:p>
        </w:tc>
      </w:tr>
      <w:tr>
        <w:trPr/>
        <w:tc>
          <w:tcPr>
            <w:tcW w:w="11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Douglas P. Golwas</w:t>
            </w:r>
          </w:p>
        </w:tc>
        <w:tc>
          <w:tcPr>
            <w:tcW w:w="17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Commercial Officer</w:t>
            </w:r>
          </w:p>
        </w:tc>
        <w:tc>
          <w:tcPr>
            <w:tcW w:w="16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Adopted on March 11, 2026</w:t>
            </w:r>
          </w:p>
        </w:tc>
        <w:tc>
          <w:tcPr>
            <w:tcW w:w="188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June 16, 2026 – June 30, 2027</w:t>
            </w:r>
          </w:p>
        </w:tc>
        <w:tc>
          <w:tcPr>
            <w:tcW w:w="38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Up to 465,864 shares of Class A common stock</w:t>
            </w:r>
          </w:p>
        </w:tc>
      </w:tr>
      <w:tr>
        <w:trPr/>
        <w:tc>
          <w:tcPr>
            <w:tcW w:w="113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Amanda H. Laabs</w:t>
            </w:r>
          </w:p>
        </w:tc>
        <w:tc>
          <w:tcPr>
            <w:tcW w:w="171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Product Officer</w:t>
            </w:r>
          </w:p>
        </w:tc>
        <w:tc>
          <w:tcPr>
            <w:tcW w:w="163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Adopted on March 12, 2026</w:t>
            </w:r>
          </w:p>
        </w:tc>
        <w:tc>
          <w:tcPr>
            <w:tcW w:w="188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June 16, 2026 – December 31, 2026</w:t>
            </w:r>
          </w:p>
        </w:tc>
        <w:tc>
          <w:tcPr>
            <w:tcW w:w="384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Up to 251,070 shares of Class A common stock</w:t>
            </w:r>
          </w:p>
        </w:tc>
      </w:tr>
    </w:tbl>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 Represents the maximum number of shares that may be sold pursuant to the trading arrangement. The actual number of shares sold will depend upon the satisfaction of certain conditions as set forth in the written plan.</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Securities to be sold pursuant to this plan are held by a family trust of which the officer’s spouse is the trustee.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95250"/>
                <wp:effectExtent l="0" t="0" r="0" b="0"/>
                <wp:wrapNone/>
                <wp:docPr id="44" name="Frame44"/>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43</w:t>
                      </w:r>
                    </w:p>
                  </w:txbxContent>
                </v:textbox>
                <w10:wrap type="none"/>
              </v:rect>
            </w:pict>
          </mc:Fallback>
        </mc:AlternateContent>
      </w:r>
    </w:p>
    <w:p>
      <w:pPr>
        <w:pStyle w:val="TextBody"/>
        <w:bidi w:val="0"/>
        <w:spacing w:before="0" w:after="0"/>
        <w:jc w:val="both"/>
        <w:rPr/>
      </w:pPr>
      <w:r>
        <w:rPr/>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3"/>
        <w:gridCol w:w="258"/>
        <w:gridCol w:w="259"/>
        <w:gridCol w:w="109"/>
        <w:gridCol w:w="109"/>
        <w:gridCol w:w="109"/>
        <w:gridCol w:w="2754"/>
        <w:gridCol w:w="2605"/>
        <w:gridCol w:w="3709"/>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2605" w:type="dxa"/>
            <w:tcBorders/>
            <w:vAlign w:val="center"/>
          </w:tcPr>
          <w:p>
            <w:pPr>
              <w:pStyle w:val="TableContents"/>
              <w:bidi w:val="0"/>
              <w:spacing w:before="0" w:after="283"/>
              <w:jc w:val="left"/>
              <w:rPr>
                <w:sz w:val="4"/>
                <w:szCs w:val="4"/>
              </w:rPr>
            </w:pPr>
            <w:r>
              <w:rPr>
                <w:sz w:val="4"/>
                <w:szCs w:val="4"/>
              </w:rPr>
            </w:r>
          </w:p>
        </w:tc>
        <w:tc>
          <w:tcPr>
            <w:tcW w:w="3709"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9068"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810" w:type="dxa"/>
            <w:gridSpan w:val="3"/>
            <w:tcBorders/>
            <w:tcMar>
              <w:top w:w="0" w:type="dxa"/>
              <w:left w:w="0" w:type="dxa"/>
              <w:bottom w:w="0" w:type="dxa"/>
              <w:right w:w="0" w:type="dxa"/>
            </w:tcMar>
            <w:vAlign w:val="center"/>
          </w:tcPr>
          <w:p>
            <w:pPr>
              <w:pStyle w:val="TableContents"/>
              <w:bidi w:val="0"/>
              <w:spacing w:lineRule="auto" w:line="333" w:before="0" w:after="0"/>
              <w:jc w:val="both"/>
              <w:rPr/>
            </w:pPr>
            <w:r>
              <w:rPr>
                <w:rFonts w:ascii="Times New Roman;serif" w:hAnsi="Times New Roman;serif"/>
                <w:b/>
                <w:color w:val="000000"/>
                <w:sz w:val="20"/>
              </w:rPr>
              <w:t>Exhibit</w:t>
            </w:r>
            <w:r>
              <w:rPr>
                <w:rFonts w:ascii="Times New Roman;serif" w:hAnsi="Times New Roman;serif"/>
                <w:b w:val="false"/>
                <w:color w:val="000000"/>
                <w:sz w:val="20"/>
              </w:rPr>
              <w:br/>
            </w:r>
            <w:r>
              <w:rPr>
                <w:rFonts w:ascii="Times New Roman;serif" w:hAnsi="Times New Roman;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068"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0" w:after="0"/>
              <w:jc w:val="both"/>
              <w:rPr/>
            </w:pPr>
            <w:hyperlink r:id="rId2">
              <w:r>
                <w:rPr>
                  <w:rStyle w:val="InternetLink"/>
                  <w:rFonts w:ascii="Times New Roman;serif" w:hAnsi="Times New Roman;serif"/>
                  <w:b w:val="false"/>
                  <w:color w:val="0000FF"/>
                  <w:sz w:val="20"/>
                  <w:u w:val="single"/>
                </w:rPr>
                <w:t>Amended and Restated Certificate of Incorporation of the Registrant (incorporated by reference to Exhibit 3.1 to the Registrant’s Current Report on Form 8-K filed on December 22, 2025)</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068"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r:id="rId3">
              <w:r>
                <w:rPr>
                  <w:rStyle w:val="InternetLink"/>
                  <w:rFonts w:ascii="Times New Roman;serif" w:hAnsi="Times New Roman;serif"/>
                  <w:b w:val="false"/>
                  <w:color w:val="0000FF"/>
                  <w:sz w:val="20"/>
                  <w:u w:val="single"/>
                </w:rPr>
                <w:t>Amended and Restated Bylaws of the Registrant (incorporated by reference to Exhibit 3.2 to the Registrant’s Current Report on Form 8-K filed on December 22, 2025)</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068"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w:anchor="ex311ceoq12026section302ce.htm">
              <w:r>
                <w:rPr>
                  <w:rStyle w:val="InternetLink"/>
                  <w:rFonts w:ascii="Times New Roman;serif" w:hAnsi="Times New Roman;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068"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w:anchor="ex312cfoq12026section302ce.htm">
              <w:r>
                <w:rPr>
                  <w:rStyle w:val="InternetLink"/>
                  <w:rFonts w:ascii="Times New Roman;serif" w:hAnsi="Times New Roman;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068"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w:anchor="ex321ceoq12026section906ce.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068"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w:anchor="ex322cfoq12026section906ce.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068"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810"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068"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10"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068"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10"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068"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10"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068"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10"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068"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10"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068"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 Furnished herewith. The certifications attached as Exhibits 32.1 and 32.2 to this Quarterly Report are deemed furnished and not filed with the SEC and are not to be incorporated by reference into any filing of the Company under the Securities Act or the Exchange Act, whether made before or after the date of this Quarterly Report, irrespective of any general incorporation language contained in such filing.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95250"/>
                <wp:effectExtent l="0" t="0" r="0" b="0"/>
                <wp:wrapNone/>
                <wp:docPr id="45" name="Frame45"/>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44</w:t>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before="0" w:after="0"/>
        <w:jc w:val="left"/>
        <w:rPr/>
      </w:pPr>
      <w:r>
        <w:rPr/>
      </w:r>
    </w:p>
    <w:p>
      <w:pPr>
        <w:pStyle w:val="TextBody"/>
        <w:bidi w:val="0"/>
        <w:spacing w:lineRule="auto" w:line="268" w:before="0" w:after="0"/>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the registrant has duly caused this report to be signed on its behalf by the undersigned, thereunto duly authorized.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 May 6, 2026</w:t>
      </w:r>
    </w:p>
    <w:tbl>
      <w:tblPr>
        <w:tblW w:w="3236" w:type="dxa"/>
        <w:jc w:val="left"/>
        <w:tblInd w:w="0" w:type="dxa"/>
        <w:tblLayout w:type="fixed"/>
        <w:tblCellMar>
          <w:top w:w="28" w:type="dxa"/>
          <w:left w:w="28" w:type="dxa"/>
          <w:bottom w:w="28" w:type="dxa"/>
          <w:right w:w="28" w:type="dxa"/>
        </w:tblCellMar>
      </w:tblPr>
      <w:tblGrid>
        <w:gridCol w:w="265"/>
        <w:gridCol w:w="233"/>
        <w:gridCol w:w="233"/>
        <w:gridCol w:w="731"/>
        <w:gridCol w:w="731"/>
        <w:gridCol w:w="1043"/>
      </w:tblGrid>
      <w:tr>
        <w:trPr/>
        <w:tc>
          <w:tcPr>
            <w:tcW w:w="26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6" w:type="dxa"/>
            <w:gridSpan w:val="6"/>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MEDLINE INC.</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i/>
                <w:color w:val="000000"/>
                <w:sz w:val="18"/>
              </w:rPr>
              <w:t xml:space="preserve">/s/ </w:t>
            </w:r>
            <w:r>
              <w:rPr>
                <w:rFonts w:ascii="Times New Roman;serif" w:hAnsi="Times New Roman;serif"/>
                <w:b w:val="false"/>
                <w:i/>
                <w:color w:val="000000"/>
                <w:sz w:val="20"/>
              </w:rPr>
              <w:t>Michael B. Drazin</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Name: Michael B. Drazin</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(Duly Authorized Officer)</w:t>
            </w:r>
          </w:p>
        </w:tc>
      </w:tr>
    </w:tbl>
    <w:tbl>
      <w:tblPr>
        <w:tblW w:w="3431" w:type="dxa"/>
        <w:jc w:val="left"/>
        <w:tblInd w:w="0" w:type="dxa"/>
        <w:tblLayout w:type="fixed"/>
        <w:tblCellMar>
          <w:top w:w="28" w:type="dxa"/>
          <w:left w:w="28" w:type="dxa"/>
          <w:bottom w:w="28" w:type="dxa"/>
          <w:right w:w="28" w:type="dxa"/>
        </w:tblCellMar>
      </w:tblPr>
      <w:tblGrid>
        <w:gridCol w:w="265"/>
        <w:gridCol w:w="233"/>
        <w:gridCol w:w="233"/>
        <w:gridCol w:w="788"/>
        <w:gridCol w:w="788"/>
        <w:gridCol w:w="1124"/>
      </w:tblGrid>
      <w:tr>
        <w:trPr/>
        <w:tc>
          <w:tcPr>
            <w:tcW w:w="26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6"/>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MEDLINE INC.</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70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i/>
                <w:color w:val="000000"/>
                <w:sz w:val="18"/>
              </w:rPr>
              <w:t xml:space="preserve">/s/ </w:t>
            </w:r>
            <w:r>
              <w:rPr>
                <w:rFonts w:ascii="Times New Roman;serif" w:hAnsi="Times New Roman;serif"/>
                <w:b w:val="false"/>
                <w:i/>
                <w:color w:val="000000"/>
                <w:sz w:val="20"/>
              </w:rPr>
              <w:t>Jessi L. Corcoran</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Name: Jessi L. Corcoran</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Title: Chief Accounting Officer</w:t>
            </w:r>
          </w:p>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(Duly Authorized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95250"/>
                <wp:effectExtent l="0" t="0" r="0" b="0"/>
                <wp:wrapNone/>
                <wp:docPr id="46" name="Frame46"/>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45</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31.1</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PURSUANT TO RULE 13a-14(a) OR 15d-14(a) OF THE SECURITIES EXCHANGE ACT OF 1934, AS ADOPTED PURSUANT TO SECTION 302 OF THE SARBANES-OXLEY ACT OF 2002</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 James M. Boyle, certify that: </w:t>
      </w:r>
    </w:p>
    <w:p>
      <w:pPr>
        <w:pStyle w:val="TextBody"/>
        <w:bidi w:val="0"/>
        <w:spacing w:before="0" w:after="0"/>
        <w:jc w:val="both"/>
        <w:rPr/>
      </w:pPr>
      <w:r>
        <w:rPr/>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1.I have reviewed this Quarterly Report on Form 10-Q of Medline Inc.;</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b.[Reserved];</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4751" w:type="dxa"/>
        <w:jc w:val="left"/>
        <w:tblInd w:w="0" w:type="dxa"/>
        <w:tblLayout w:type="fixed"/>
        <w:tblCellMar>
          <w:top w:w="28" w:type="dxa"/>
          <w:left w:w="28" w:type="dxa"/>
          <w:bottom w:w="28" w:type="dxa"/>
          <w:right w:w="28" w:type="dxa"/>
        </w:tblCellMar>
      </w:tblPr>
      <w:tblGrid>
        <w:gridCol w:w="745"/>
        <w:gridCol w:w="653"/>
        <w:gridCol w:w="656"/>
        <w:gridCol w:w="109"/>
        <w:gridCol w:w="109"/>
        <w:gridCol w:w="109"/>
        <w:gridCol w:w="694"/>
        <w:gridCol w:w="694"/>
        <w:gridCol w:w="982"/>
      </w:tblGrid>
      <w:tr>
        <w:trPr/>
        <w:tc>
          <w:tcPr>
            <w:tcW w:w="74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Dated : May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i/>
                <w:color w:val="000000"/>
                <w:sz w:val="22"/>
              </w:rPr>
            </w:pPr>
            <w:r>
              <w:rPr>
                <w:rFonts w:ascii="Times New Roman;serif" w:hAnsi="Times New Roman;serif"/>
                <w:b w:val="false"/>
                <w:i/>
                <w:color w:val="000000"/>
                <w:sz w:val="22"/>
              </w:rPr>
              <w:t>/s/ James M. Boyle</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James M. Boyle</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31.2</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PURSUANT TO RULE 13a-14(a) OR 15d-14(a) OF THE SECURITIES EXCHANGE ACT OF 1934, AS ADOPTED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 Michael B. Drazin, certify that: </w:t>
      </w:r>
    </w:p>
    <w:p>
      <w:pPr>
        <w:pStyle w:val="TextBody"/>
        <w:bidi w:val="0"/>
        <w:spacing w:before="0" w:after="0"/>
        <w:jc w:val="both"/>
        <w:rPr/>
      </w:pPr>
      <w:r>
        <w:rPr/>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1.I have reviewed this Quarterly Report on Form 10-Q of Medline Inc.;</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b.[Reserved];</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4675" w:type="dxa"/>
        <w:jc w:val="left"/>
        <w:tblInd w:w="0" w:type="dxa"/>
        <w:tblLayout w:type="fixed"/>
        <w:tblCellMar>
          <w:top w:w="28" w:type="dxa"/>
          <w:left w:w="28" w:type="dxa"/>
          <w:bottom w:w="28" w:type="dxa"/>
          <w:right w:w="28" w:type="dxa"/>
        </w:tblCellMar>
      </w:tblPr>
      <w:tblGrid>
        <w:gridCol w:w="745"/>
        <w:gridCol w:w="653"/>
        <w:gridCol w:w="656"/>
        <w:gridCol w:w="109"/>
        <w:gridCol w:w="109"/>
        <w:gridCol w:w="109"/>
        <w:gridCol w:w="671"/>
        <w:gridCol w:w="671"/>
        <w:gridCol w:w="952"/>
      </w:tblGrid>
      <w:tr>
        <w:trPr/>
        <w:tc>
          <w:tcPr>
            <w:tcW w:w="74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Dated : May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i/>
                <w:color w:val="000000"/>
                <w:sz w:val="22"/>
              </w:rPr>
            </w:pPr>
            <w:r>
              <w:rPr>
                <w:rFonts w:ascii="Times New Roman;serif" w:hAnsi="Times New Roman;serif"/>
                <w:b w:val="false"/>
                <w:i/>
                <w:color w:val="000000"/>
                <w:sz w:val="22"/>
              </w:rPr>
              <w:t>/s/ Michael B. Drazin</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Michael B. Drazin</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Chief Financial Officer</w:t>
            </w:r>
          </w:p>
        </w:tc>
      </w:tr>
    </w:tbl>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32.1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 AS ADOPTED PURSUANT TO SECTION 906 OF THE SARBANES-OXLEY ACT OF 2002</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 James M. Boyle, Chief Executive Officer of Medline Inc. (the “Company”), certify, pursuant to 18 U.S.C. Section 1350, that: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1.the Quarterly Report on Form 10-Q for the fiscal quarter ended March 28, 2026 containing the financial statements of the Company (the “Quarterly Report”), which this statement accompanies, fully complies with the requirements of Section 13(a) or 15(d) of the Securities Exchange Act of 1934 (15 U.S.C. 78m or 78o(d)); and</w:t>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2.the information contained in the Quarterly Report fairly presents, in all material respects, the financial condition and results of operations of the Company.</w:t>
      </w:r>
    </w:p>
    <w:p>
      <w:pPr>
        <w:pStyle w:val="TextBody"/>
        <w:bidi w:val="0"/>
        <w:spacing w:before="0" w:after="0"/>
        <w:jc w:val="center"/>
        <w:rPr/>
      </w:pPr>
      <w:r>
        <w:rPr/>
      </w:r>
    </w:p>
    <w:tbl>
      <w:tblPr>
        <w:tblW w:w="4751" w:type="dxa"/>
        <w:jc w:val="left"/>
        <w:tblInd w:w="0" w:type="dxa"/>
        <w:tblLayout w:type="fixed"/>
        <w:tblCellMar>
          <w:top w:w="28" w:type="dxa"/>
          <w:left w:w="28" w:type="dxa"/>
          <w:bottom w:w="28" w:type="dxa"/>
          <w:right w:w="28" w:type="dxa"/>
        </w:tblCellMar>
      </w:tblPr>
      <w:tblGrid>
        <w:gridCol w:w="745"/>
        <w:gridCol w:w="653"/>
        <w:gridCol w:w="656"/>
        <w:gridCol w:w="109"/>
        <w:gridCol w:w="109"/>
        <w:gridCol w:w="109"/>
        <w:gridCol w:w="694"/>
        <w:gridCol w:w="694"/>
        <w:gridCol w:w="982"/>
      </w:tblGrid>
      <w:tr>
        <w:trPr/>
        <w:tc>
          <w:tcPr>
            <w:tcW w:w="74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Dated : May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i/>
                <w:color w:val="000000"/>
                <w:sz w:val="22"/>
              </w:rPr>
            </w:pPr>
            <w:r>
              <w:rPr>
                <w:rFonts w:ascii="Times New Roman;serif" w:hAnsi="Times New Roman;serif"/>
                <w:b w:val="false"/>
                <w:i/>
                <w:color w:val="000000"/>
                <w:sz w:val="22"/>
              </w:rPr>
              <w:t>/s/ James M. Boyle</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James M. Boyle</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Chief Executive Officer</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This certification shall not, except to the extent required by the Sarbanes-Oxley Act of 2002, be deemed filed by the Company for purposes of Section 18 of the Securities Exchange Act of 1934, as amended, or otherwise subject to the liability of that section.</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32.2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 AS ADOPTED PURSUANT TO SECTION 906 OF THE SARBANES-OXLEY ACT OF 2002</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 Michael B. Drazin, Chief Financial Officer of Medline Inc. (the “Company”), certify, pursuant to 18 U.S.C. Section 1350, that: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1.the Quarterly Report on Form 10-Q for the fiscal quarter ended March 28, 2026 containing the financial statements of the Company (the “Quarterly Report”), which this statement accompanies, fully complies with the requirements of Section 13(a) or 15(d) of the Securities Exchange Act of 1934 (15 U.S.C. 78m or 78o(d)); and</w:t>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2.the information contained in the Quarterly Report fairly presents, in all material respects, the financial condition and results of operations of the Company.</w:t>
      </w:r>
    </w:p>
    <w:p>
      <w:pPr>
        <w:pStyle w:val="TextBody"/>
        <w:bidi w:val="0"/>
        <w:spacing w:before="0" w:after="0"/>
        <w:jc w:val="center"/>
        <w:rPr/>
      </w:pPr>
      <w:r>
        <w:rPr/>
      </w:r>
    </w:p>
    <w:tbl>
      <w:tblPr>
        <w:tblW w:w="4675" w:type="dxa"/>
        <w:jc w:val="left"/>
        <w:tblInd w:w="0" w:type="dxa"/>
        <w:tblLayout w:type="fixed"/>
        <w:tblCellMar>
          <w:top w:w="28" w:type="dxa"/>
          <w:left w:w="28" w:type="dxa"/>
          <w:bottom w:w="28" w:type="dxa"/>
          <w:right w:w="28" w:type="dxa"/>
        </w:tblCellMar>
      </w:tblPr>
      <w:tblGrid>
        <w:gridCol w:w="745"/>
        <w:gridCol w:w="653"/>
        <w:gridCol w:w="656"/>
        <w:gridCol w:w="109"/>
        <w:gridCol w:w="109"/>
        <w:gridCol w:w="109"/>
        <w:gridCol w:w="671"/>
        <w:gridCol w:w="671"/>
        <w:gridCol w:w="952"/>
      </w:tblGrid>
      <w:tr>
        <w:trPr/>
        <w:tc>
          <w:tcPr>
            <w:tcW w:w="74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Dated : May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i/>
                <w:color w:val="000000"/>
                <w:sz w:val="22"/>
              </w:rPr>
            </w:pPr>
            <w:r>
              <w:rPr>
                <w:rFonts w:ascii="Times New Roman;serif" w:hAnsi="Times New Roman;serif"/>
                <w:b w:val="false"/>
                <w:i/>
                <w:color w:val="000000"/>
                <w:sz w:val="22"/>
              </w:rPr>
              <w:t>/s/ Michael B. Drazin</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Michael B. Drazin</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Chief Financial Officer</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This certification shall not, except to the extent required by the Sarbanes-Oxley Act of 2002, be deemed filed by the Company for purposes of Section 18 of the Securities Exchange Act of 1934, as amended, or otherwise subject to the liability of that section.</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46386/000119312525328884/d933672dex31.htm" TargetMode="External"/><Relationship Id="rId3" Type="http://schemas.openxmlformats.org/officeDocument/2006/relationships/hyperlink" Target="https://www.sec.gov/Archives/edgar/data/2046386/000119312525328884/d933672dex3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22782</Words>
  <Characters>125795</Characters>
  <CharactersWithSpaces>147027</CharactersWithSpaces>
  <Paragraphs>2443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