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968"/>
        <w:gridCol w:w="3188"/>
        <w:gridCol w:w="3049"/>
      </w:tblGrid>
      <w:tr>
        <w:trPr/>
        <w:tc>
          <w:tcPr>
            <w:tcW w:w="3968"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848"/>
            </w:tblGrid>
            <w:tr>
              <w:trPr/>
              <w:tc>
                <w:tcPr>
                  <w:tcW w:w="3848" w:type="dxa"/>
                  <w:tcBorders/>
                  <w:vAlign w:val="center"/>
                </w:tcPr>
                <w:p>
                  <w:pPr>
                    <w:pStyle w:val="TableContents"/>
                    <w:bidi w:val="0"/>
                    <w:spacing w:before="0" w:after="283"/>
                    <w:jc w:val="left"/>
                    <w:rPr/>
                  </w:pPr>
                  <w:hyperlink r:id="rId4">
                    <w:r>
                      <w:rPr>
                        <w:rStyle w:val="InternetLink"/>
                      </w:rPr>
                      <w:t>GIC Private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82"/>
              <w:gridCol w:w="1283"/>
              <w:gridCol w:w="1283"/>
            </w:tblGrid>
            <w:tr>
              <w:trPr/>
              <w:tc>
                <w:tcPr>
                  <w:tcW w:w="128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2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2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848"/>
            </w:tblGrid>
            <w:tr>
              <w:trPr/>
              <w:tc>
                <w:tcPr>
                  <w:tcW w:w="384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 ROBINSON ROAD</w:t>
                  </w:r>
                </w:p>
              </w:tc>
            </w:tr>
            <w:tr>
              <w:trPr/>
              <w:tc>
                <w:tcPr>
                  <w:tcW w:w="384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#37-01 CAPITAL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282"/>
              <w:gridCol w:w="1283"/>
              <w:gridCol w:w="1283"/>
            </w:tblGrid>
            <w:tr>
              <w:trPr/>
              <w:tc>
                <w:tcPr>
                  <w:tcW w:w="128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28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28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068912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82"/>
              <w:gridCol w:w="1283"/>
              <w:gridCol w:w="1283"/>
            </w:tblGrid>
            <w:tr>
              <w:trPr/>
              <w:tc>
                <w:tcPr>
                  <w:tcW w:w="128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2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2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848"/>
            </w:tblGrid>
            <w:tr>
              <w:trPr/>
              <w:tc>
                <w:tcPr>
                  <w:tcW w:w="384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188"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Medline Inc.</w:t>
              </w:r>
            </w:hyperlink>
            <w:r>
              <w:rPr/>
              <w:t xml:space="preserve"> [ </w:t>
            </w:r>
            <w:r>
              <w:rPr>
                <w:rFonts w:ascii="Times;serif" w:hAnsi="Times;serif"/>
                <w:color w:val="0000FF"/>
                <w:sz w:val="24"/>
                <w:shd w:fill="FFFFFF" w:val="clear"/>
              </w:rPr>
              <w:t>MDLN</w:t>
            </w:r>
            <w:r>
              <w:rPr/>
              <w:t xml:space="preserve"> ] </w:t>
              <w:br/>
            </w:r>
            <w:r>
              <w:rPr>
                <w:rFonts w:ascii="arial;helvetica;sans-serif" w:hAnsi="arial;helvetica;sans-serif"/>
                <w:sz w:val="20"/>
              </w:rPr>
              <w:t>Foreign Trading Symbol</w:t>
            </w:r>
          </w:p>
        </w:tc>
        <w:tc>
          <w:tcPr>
            <w:tcW w:w="3049"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8"/>
              <w:gridCol w:w="1026"/>
              <w:gridCol w:w="439"/>
              <w:gridCol w:w="1026"/>
            </w:tblGrid>
            <w:tr>
              <w:trPr/>
              <w:tc>
                <w:tcPr>
                  <w:tcW w:w="43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29"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9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188"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4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96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188"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49"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38"/>
              <w:gridCol w:w="2491"/>
            </w:tblGrid>
            <w:tr>
              <w:trPr/>
              <w:tc>
                <w:tcPr>
                  <w:tcW w:w="438"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38"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49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7"/>
        <w:gridCol w:w="914"/>
        <w:gridCol w:w="786"/>
        <w:gridCol w:w="607"/>
        <w:gridCol w:w="335"/>
        <w:gridCol w:w="996"/>
        <w:gridCol w:w="409"/>
        <w:gridCol w:w="789"/>
        <w:gridCol w:w="1332"/>
        <w:gridCol w:w="949"/>
        <w:gridCol w:w="120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590,284</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35.58</w:t>
            </w:r>
            <w:r>
              <w:rPr>
                <w:rFonts w:ascii="Times;serif" w:hAnsi="Times;serif"/>
                <w:color w:val="008000"/>
                <w:position w:val="7"/>
                <w:sz w:val="16"/>
                <w:sz w:val="20"/>
                <w:shd w:fill="FFFFFF" w:val="clear"/>
              </w:rPr>
              <w:t>(1)</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24,402,482</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8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91,555,447</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Hux Investment Pte. Ltd.</w:t>
            </w:r>
            <w:r>
              <w:rPr>
                <w:rFonts w:ascii="Times;serif" w:hAnsi="Times;serif"/>
                <w:color w:val="008000"/>
                <w:position w:val="7"/>
                <w:sz w:val="16"/>
                <w:sz w:val="20"/>
                <w:shd w:fill="FFFFFF" w:val="clear"/>
              </w:rPr>
              <w:t>(2)(3)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GIC Private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 ROBINSON ROAD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#37-01 CAPITAL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068912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GIC Special Investments Pte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 ROBINSON ROAD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#37-01 CAPITAL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068912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Hux Investment Pte.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 ROBINSON ROAD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#37-01 CAPITAL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068912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$35.20 to $35.72, inclusive. The reporting person undertakes to provide to Medline Inc., any security holder of Medline Inc., or the staff of the Securities and Exchange Commission, upon request, full information regarding the number of shares purchased at each separate price within the ranges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Reporting Person disclaims beneficial ownership of the securities except to the extent of its pecuniary interest therein, and this report shall not be deemed an admission that such Reporting Person is the beneficial owner of the securities for purposes of Section 16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owned directly by Hux. Hux shares the power to vote and the power to dispose of these securities with GIC Special Investments Pte. Ltd. ("GIC SI") and GIC (with Hux and GIC SI, each a "Reporting Person"), both of which are private limited companies incorporated in Singapore. GIC SI is wholly owned by GIC and is the private equity investment arm of GIC. GIC is wholly owned by the Government of Singapore and was set up with the sole purpose of managing Singapore's foreign reserves. The Government of Singapore disclaims beneficial ownership of these securities.</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GIC Private Ltd, By: /s/ Wong Hui Ping, Name: Wong Hui Ping, Title: Senior Vice President; By: /s/ Toh Tze Meng, Name: Toh Tze Meng, Title: Senior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GIC Special Investments Pte Ltd, By: /s/ Sensen Lin, Name: Sensen Lin, Title: Authorized Signatory for GIC SI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Hux Investment Pte. Ltd., By: /s/ Suresh Bala, Name: Suresh Bala, Title: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36828" TargetMode="External"/><Relationship Id="rId5" Type="http://schemas.openxmlformats.org/officeDocument/2006/relationships/hyperlink" Target="http://www.sec.gov/cgi-bin/browse-edgar?action=getcompany&amp;CIK=0002046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0936828" TargetMode="External"/><Relationship Id="rId9" Type="http://schemas.openxmlformats.org/officeDocument/2006/relationships/hyperlink" Target="http://www.sec.gov/cgi-bin/browse-edgar?action=getcompany&amp;CIK=0001296212" TargetMode="External"/><Relationship Id="rId10" Type="http://schemas.openxmlformats.org/officeDocument/2006/relationships/hyperlink" Target="http://www.sec.gov/cgi-bin/browse-edgar?action=getcompany&amp;CIK=0002038483"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954</Words>
  <Characters>5146</Characters>
  <CharactersWithSpaces>5977</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