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968"/>
        <w:gridCol w:w="3188"/>
        <w:gridCol w:w="3049"/>
      </w:tblGrid>
      <w:tr>
        <w:trPr/>
        <w:tc>
          <w:tcPr>
            <w:tcW w:w="3968"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848"/>
            </w:tblGrid>
            <w:tr>
              <w:trPr/>
              <w:tc>
                <w:tcPr>
                  <w:tcW w:w="3848" w:type="dxa"/>
                  <w:tcBorders/>
                  <w:vAlign w:val="center"/>
                </w:tcPr>
                <w:p>
                  <w:pPr>
                    <w:pStyle w:val="TableContents"/>
                    <w:bidi w:val="0"/>
                    <w:spacing w:before="0" w:after="283"/>
                    <w:jc w:val="left"/>
                    <w:rPr/>
                  </w:pPr>
                  <w:hyperlink r:id="rId4">
                    <w:r>
                      <w:rPr>
                        <w:rStyle w:val="InternetLink"/>
                      </w:rPr>
                      <w:t>GIC Private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282"/>
              <w:gridCol w:w="1283"/>
              <w:gridCol w:w="1283"/>
            </w:tblGrid>
            <w:tr>
              <w:trPr/>
              <w:tc>
                <w:tcPr>
                  <w:tcW w:w="128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28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28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848"/>
            </w:tblGrid>
            <w:tr>
              <w:trPr/>
              <w:tc>
                <w:tcPr>
                  <w:tcW w:w="384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168 ROBINSON ROAD</w:t>
                  </w:r>
                </w:p>
              </w:tc>
            </w:tr>
            <w:tr>
              <w:trPr/>
              <w:tc>
                <w:tcPr>
                  <w:tcW w:w="384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#37-01 CAPITAL TOWER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282"/>
              <w:gridCol w:w="1283"/>
              <w:gridCol w:w="1283"/>
            </w:tblGrid>
            <w:tr>
              <w:trPr/>
              <w:tc>
                <w:tcPr>
                  <w:tcW w:w="128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28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28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068912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282"/>
              <w:gridCol w:w="1283"/>
              <w:gridCol w:w="1283"/>
            </w:tblGrid>
            <w:tr>
              <w:trPr/>
              <w:tc>
                <w:tcPr>
                  <w:tcW w:w="128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28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28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848"/>
            </w:tblGrid>
            <w:tr>
              <w:trPr/>
              <w:tc>
                <w:tcPr>
                  <w:tcW w:w="384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SINGAPORE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188"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Medline Inc.</w:t>
              </w:r>
            </w:hyperlink>
            <w:r>
              <w:rPr/>
              <w:t xml:space="preserve"> [ </w:t>
            </w:r>
            <w:r>
              <w:rPr>
                <w:rFonts w:ascii="Times;serif" w:hAnsi="Times;serif"/>
                <w:color w:val="0000FF"/>
                <w:sz w:val="24"/>
                <w:shd w:fill="FFFFFF" w:val="clear"/>
              </w:rPr>
              <w:t>MDLN</w:t>
            </w:r>
            <w:r>
              <w:rPr/>
              <w:t xml:space="preserve"> ] </w:t>
              <w:br/>
            </w:r>
            <w:r>
              <w:rPr>
                <w:rFonts w:ascii="arial;helvetica;sans-serif" w:hAnsi="arial;helvetica;sans-serif"/>
                <w:sz w:val="20"/>
              </w:rPr>
              <w:t>Foreign Trading Symbol</w:t>
            </w:r>
          </w:p>
        </w:tc>
        <w:tc>
          <w:tcPr>
            <w:tcW w:w="3049"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38"/>
              <w:gridCol w:w="1026"/>
              <w:gridCol w:w="439"/>
              <w:gridCol w:w="1026"/>
            </w:tblGrid>
            <w:tr>
              <w:trPr/>
              <w:tc>
                <w:tcPr>
                  <w:tcW w:w="43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29"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9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188"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10/02/2026</w:t>
            </w:r>
          </w:p>
        </w:tc>
        <w:tc>
          <w:tcPr>
            <w:tcW w:w="304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96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188"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49"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38"/>
              <w:gridCol w:w="2491"/>
            </w:tblGrid>
            <w:tr>
              <w:trPr/>
              <w:tc>
                <w:tcPr>
                  <w:tcW w:w="438"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38"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49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92"/>
        <w:gridCol w:w="912"/>
        <w:gridCol w:w="784"/>
        <w:gridCol w:w="605"/>
        <w:gridCol w:w="331"/>
        <w:gridCol w:w="1142"/>
        <w:gridCol w:w="400"/>
        <w:gridCol w:w="784"/>
        <w:gridCol w:w="1320"/>
        <w:gridCol w:w="935"/>
        <w:gridCol w:w="120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9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9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9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2,570,999</w:t>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35.35</w:t>
            </w:r>
            <w:r>
              <w:rPr>
                <w:rFonts w:ascii="Times;serif" w:hAnsi="Times;serif"/>
                <w:color w:val="008000"/>
                <w:position w:val="7"/>
                <w:sz w:val="16"/>
                <w:sz w:val="20"/>
                <w:shd w:fill="FFFFFF" w:val="clear"/>
              </w:rPr>
              <w:t>(1)</w:t>
            </w:r>
          </w:p>
        </w:tc>
        <w:tc>
          <w:tcPr>
            <w:tcW w:w="13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20,231,483</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9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7,146,941</w:t>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34.33</w:t>
            </w:r>
          </w:p>
        </w:tc>
        <w:tc>
          <w:tcPr>
            <w:tcW w:w="13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84,408,506</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Hux Investment Pte. Ltd.</w:t>
            </w:r>
            <w:r>
              <w:rPr>
                <w:rFonts w:ascii="Times;serif" w:hAnsi="Times;serif"/>
                <w:color w:val="008000"/>
                <w:position w:val="7"/>
                <w:sz w:val="16"/>
                <w:sz w:val="20"/>
                <w:shd w:fill="FFFFFF" w:val="clear"/>
              </w:rPr>
              <w:t>(2)(3)</w:t>
            </w:r>
          </w:p>
        </w:tc>
      </w:tr>
      <w:tr>
        <w:trPr/>
        <w:tc>
          <w:tcPr>
            <w:tcW w:w="179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1,688,690</w:t>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35.78</w:t>
            </w:r>
            <w:r>
              <w:rPr>
                <w:rFonts w:ascii="Times;serif" w:hAnsi="Times;serif"/>
                <w:color w:val="008000"/>
                <w:position w:val="7"/>
                <w:sz w:val="16"/>
                <w:sz w:val="20"/>
                <w:shd w:fill="FFFFFF" w:val="clear"/>
              </w:rPr>
              <w:t>(4)</w:t>
            </w:r>
          </w:p>
        </w:tc>
        <w:tc>
          <w:tcPr>
            <w:tcW w:w="13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18,542,793</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9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2,088,987</w:t>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35.05</w:t>
            </w:r>
          </w:p>
        </w:tc>
        <w:tc>
          <w:tcPr>
            <w:tcW w:w="13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16,453,806</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9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7,183,013</w:t>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35.05</w:t>
            </w:r>
          </w:p>
        </w:tc>
        <w:tc>
          <w:tcPr>
            <w:tcW w:w="13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77,225,493</w:t>
            </w:r>
          </w:p>
        </w:tc>
        <w:tc>
          <w:tcPr>
            <w:tcW w:w="9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Hux Investment Pte. Ltd.</w:t>
            </w:r>
            <w:r>
              <w:rPr>
                <w:rFonts w:ascii="Times;serif" w:hAnsi="Times;serif"/>
                <w:color w:val="008000"/>
                <w:position w:val="7"/>
                <w:sz w:val="16"/>
                <w:sz w:val="20"/>
                <w:shd w:fill="FFFFFF" w:val="clear"/>
              </w:rPr>
              <w:t>(2)(3)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GIC Private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168 ROBINSON ROAD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#37-01 CAPITAL TOWER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068912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SINGAPORE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GIC Special Investments Pte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168 ROBINSON ROAD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#37-01 CAPITAL TOWER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068912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SINGAPORE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Hux Investment Pte.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168 ROBINSON ROAD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#37-01 CAPITAL TOWER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068912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SINGAPORE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$35.30 to $35.70, inclusive. The reporting person undertakes to provide to Medline Inc., any security holder of Medline Inc., or the staff of the Securities and Exchange Commission (the "SEC"), upon request, full information regarding the number of shares purchased at each separate price within the ranges set forth in footnote (1)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Reporting Person disclaims beneficial ownership of the securities except to the extent of its pecuniary interest therein, and this report shall not be deemed an admission that such Reporting Person is the beneficial owner of the securities for purposes of Section 16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owned directly by Hux. Hux shares the power to vote and the power to dispose of these securities with GIC Special Investments Pte. Ltd. ("GIC SI") and GIC (with Hux and GIC SI, each a "Reporting Person"), both of which are private limited companies incorporated in Singapore. GIC SI is wholly owned by GIC and is the private equity investment arm of GIC. GIC is wholly owned by the Government of Singapore and was set up with the sole purpose of managing Singapore's foreign reserves. The Government of Singapore disclaims beneficial ownership of these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$35.59 to $36.23, inclusive. The reporting person undertakes to provide to Medline Inc., any security holder of Medline Inc., or the staff of the SEC, upon request, full information regarding the number of shares purchased at each separate price within the ranges set forth in footnote (4) to this Form 4.</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GIC Private Ltd, By: /s/ Wong Hui Ping, Name: Wong Hui Ping, Title: Senior Vice President; By: /s/ Toh Tze Meng, Name: Toh Tze Meng, Title: Senior Vice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GIC Special Investments Pte Ltd, By: /s/ Sensen Lin, Name: Sensen Lin, Title: Authorized Signatory for GIC SI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Hux Investment Pte. Ltd., By: /s/ Suresh Bala, Name: Suresh Bala, Title: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36828" TargetMode="External"/><Relationship Id="rId5" Type="http://schemas.openxmlformats.org/officeDocument/2006/relationships/hyperlink" Target="http://www.sec.gov/cgi-bin/browse-edgar?action=getcompany&amp;CIK=00020463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0936828" TargetMode="External"/><Relationship Id="rId9" Type="http://schemas.openxmlformats.org/officeDocument/2006/relationships/hyperlink" Target="http://www.sec.gov/cgi-bin/browse-edgar?action=getcompany&amp;CIK=0001296212" TargetMode="External"/><Relationship Id="rId10" Type="http://schemas.openxmlformats.org/officeDocument/2006/relationships/hyperlink" Target="http://www.sec.gov/cgi-bin/browse-edgar?action=getcompany&amp;CIK=0002038483"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1072</Words>
  <Characters>5752</Characters>
  <CharactersWithSpaces>6670</CharactersWithSpaces>
  <Paragraphs>186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