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333"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333" w:before="120" w:after="283"/>
        <w:jc w:val="center"/>
        <w:rPr>
          <w:rFonts w:ascii="Times New Roman;serif" w:hAnsi="Times New Roman;serif"/>
          <w:b/>
          <w:color w:val="181717"/>
          <w:sz w:val="36"/>
        </w:rPr>
      </w:pPr>
      <w:r>
        <w:rPr>
          <w:rFonts w:ascii="Times New Roman;serif" w:hAnsi="Times New Roman;serif"/>
          <w:b/>
          <w:color w:val="181717"/>
          <w:sz w:val="36"/>
        </w:rPr>
        <w:t>FORM 10-K</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333" w:before="240" w:after="283"/>
        <w:jc w:val="left"/>
        <w:rPr>
          <w:rFonts w:ascii="Times New Roman;serif" w:hAnsi="Times New Roman;serif"/>
          <w:b/>
          <w:color w:val="181717"/>
          <w:sz w:val="20"/>
        </w:rPr>
      </w:pPr>
      <w:r>
        <w:rPr>
          <w:rFonts w:ascii="Times New Roman;serif" w:hAnsi="Times New Roman;serif"/>
          <w:b/>
          <w:color w:val="181717"/>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For the fiscal year ended December 31, 2025</w:t>
      </w:r>
    </w:p>
    <w:p>
      <w:pPr>
        <w:pStyle w:val="TextBody"/>
        <w:bidi w:val="0"/>
        <w:spacing w:lineRule="auto" w:line="333" w:before="240" w:after="240"/>
        <w:jc w:val="center"/>
        <w:rPr>
          <w:rFonts w:ascii="Times New Roman;serif" w:hAnsi="Times New Roman;serif"/>
          <w:b/>
          <w:color w:val="181717"/>
          <w:sz w:val="16"/>
        </w:rPr>
      </w:pPr>
      <w:r>
        <w:rPr>
          <w:rFonts w:ascii="Times New Roman;serif" w:hAnsi="Times New Roman;serif"/>
          <w:b/>
          <w:color w:val="181717"/>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For the transition period from ___________ to ___________</w:t>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Commission file number 001-43022</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333" w:before="120" w:after="283"/>
        <w:jc w:val="center"/>
        <w:rPr>
          <w:rFonts w:ascii="Times New Roman;serif" w:hAnsi="Times New Roman;serif"/>
          <w:b/>
          <w:color w:val="181717"/>
          <w:sz w:val="36"/>
        </w:rPr>
      </w:pPr>
      <w:r>
        <w:rPr>
          <w:rFonts w:ascii="Times New Roman;serif" w:hAnsi="Times New Roman;serif"/>
          <w:b/>
          <w:color w:val="181717"/>
          <w:sz w:val="36"/>
        </w:rPr>
        <w:t>Medline Inc.</w:t>
      </w:r>
    </w:p>
    <w:p>
      <w:pPr>
        <w:pStyle w:val="TextBody"/>
        <w:bidi w:val="0"/>
        <w:spacing w:lineRule="auto" w:line="333" w:before="0" w:after="0"/>
        <w:jc w:val="center"/>
        <w:rPr>
          <w:rFonts w:ascii="Times New Roman;serif" w:hAnsi="Times New Roman;serif"/>
          <w:b/>
          <w:color w:val="181717"/>
          <w:sz w:val="20"/>
        </w:rPr>
      </w:pPr>
      <w:r>
        <w:rPr>
          <w:rFonts w:ascii="Times New Roman;serif" w:hAnsi="Times New Roman;serif"/>
          <w:b/>
          <w:color w:val="181717"/>
          <w:sz w:val="20"/>
        </w:rPr>
        <w:t>(Exact name of registrant as specified in its charter)</w:t>
      </w:r>
    </w:p>
    <w:p>
      <w:pPr>
        <w:pStyle w:val="TextBody"/>
        <w:bidi w:val="0"/>
        <w:spacing w:lineRule="auto" w:line="333" w:before="0" w:after="240"/>
        <w:jc w:val="center"/>
        <w:rPr>
          <w:rFonts w:ascii="Times New Roman;serif" w:hAnsi="Times New Roman;serif"/>
          <w:b/>
          <w:color w:val="181717"/>
          <w:sz w:val="28"/>
        </w:rPr>
      </w:pPr>
      <w:r>
        <w:rPr>
          <w:rFonts w:ascii="Times New Roman;serif" w:hAnsi="Times New Roman;serif"/>
          <w:b/>
          <w:color w:val="181717"/>
          <w:sz w:val="28"/>
        </w:rPr>
        <w:t>_________________________</w:t>
      </w:r>
    </w:p>
    <w:tbl>
      <w:tblPr>
        <w:tblW w:w="5275" w:type="dxa"/>
        <w:jc w:val="left"/>
        <w:tblInd w:w="0" w:type="dxa"/>
        <w:tblLayout w:type="fixed"/>
        <w:tblCellMar>
          <w:top w:w="28" w:type="dxa"/>
          <w:left w:w="28" w:type="dxa"/>
          <w:bottom w:w="28" w:type="dxa"/>
          <w:right w:w="28" w:type="dxa"/>
        </w:tblCellMar>
      </w:tblPr>
      <w:tblGrid>
        <w:gridCol w:w="1193"/>
        <w:gridCol w:w="1047"/>
        <w:gridCol w:w="1059"/>
        <w:gridCol w:w="109"/>
        <w:gridCol w:w="109"/>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33-1845288</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20"/>
              </w:rPr>
            </w:pPr>
            <w:r>
              <w:rPr>
                <w:rFonts w:ascii="Times New Roman;serif" w:hAnsi="Times New Roman;serif"/>
                <w:b/>
                <w:color w:val="000000"/>
                <w:sz w:val="20"/>
              </w:rPr>
              <w:t>3 Lakes Drive</w:t>
            </w:r>
          </w:p>
          <w:p>
            <w:pPr>
              <w:pStyle w:val="TableContents"/>
              <w:bidi w:val="0"/>
              <w:spacing w:lineRule="auto" w:line="288" w:before="0" w:after="30"/>
              <w:jc w:val="center"/>
              <w:rPr>
                <w:rFonts w:ascii="Times New Roman;serif" w:hAnsi="Times New Roman;serif"/>
                <w:b/>
                <w:color w:val="000000"/>
                <w:sz w:val="20"/>
              </w:rPr>
            </w:pPr>
            <w:r>
              <w:rPr>
                <w:rFonts w:ascii="Times New Roman;serif" w:hAnsi="Times New Roman;serif"/>
                <w:b/>
                <w:color w:val="000000"/>
                <w:sz w:val="20"/>
              </w:rPr>
              <w:t>Northfield,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60093</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ind w:left="0" w:right="0" w:hanging="10"/>
        <w:jc w:val="center"/>
        <w:rPr/>
      </w:pPr>
      <w:r>
        <w:rPr/>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(847) 949 5500</w:t>
      </w:r>
    </w:p>
    <w:p>
      <w:pPr>
        <w:pStyle w:val="TextBody"/>
        <w:bidi w:val="0"/>
        <w:spacing w:lineRule="auto" w:line="333" w:before="0" w:after="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613" w:type="dxa"/>
        <w:jc w:val="left"/>
        <w:tblInd w:w="0" w:type="dxa"/>
        <w:tblLayout w:type="fixed"/>
        <w:tblCellMar>
          <w:top w:w="28" w:type="dxa"/>
          <w:left w:w="28" w:type="dxa"/>
          <w:bottom w:w="28" w:type="dxa"/>
          <w:right w:w="28" w:type="dxa"/>
        </w:tblCellMar>
      </w:tblPr>
      <w:tblGrid>
        <w:gridCol w:w="1553"/>
        <w:gridCol w:w="1360"/>
        <w:gridCol w:w="1376"/>
        <w:gridCol w:w="539"/>
        <w:gridCol w:w="539"/>
        <w:gridCol w:w="541"/>
        <w:gridCol w:w="1085"/>
        <w:gridCol w:w="1085"/>
        <w:gridCol w:w="1535"/>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MDLN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Nasdaq Global Select Market </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181717"/>
          <w:sz w:val="20"/>
        </w:rPr>
        <w:t xml:space="preserve">Securities registered pursuant to section 12(g) of the Act: </w:t>
      </w:r>
      <w:r>
        <w:rPr>
          <w:rFonts w:ascii="Times New Roman;serif" w:hAnsi="Times New Roman;serif"/>
          <w:b/>
          <w:color w:val="181717"/>
          <w:sz w:val="20"/>
        </w:rPr>
        <w:t>None</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if the registrant is a well-known seasoned issuer, as defined in Rule 405 of the Securities Act.</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if the registrant is not required to file reports pursuant to Section 13 or Section 15(d) of the Act.</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 xml:space="preserve">☐                </w:t>
      </w:r>
    </w:p>
    <w:p>
      <w:pPr>
        <w:pStyle w:val="TextBody"/>
        <w:bidi w:val="0"/>
        <w:spacing w:lineRule="auto" w:line="333" w:before="240" w:after="24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181717"/>
              </w:rPr>
            </w:pPr>
            <w:r>
              <w:rPr>
                <w:color w:val="1817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333" w:before="0" w:after="0"/>
        <w:jc w:val="right"/>
        <w:rPr>
          <w:color w:val="181717"/>
        </w:rPr>
      </w:pP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333" w:before="0" w:after="0"/>
        <w:jc w:val="right"/>
        <w:rPr>
          <w:color w:val="181717"/>
        </w:rPr>
      </w:pP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33" w:before="0" w:after="0"/>
        <w:jc w:val="right"/>
        <w:rPr>
          <w:color w:val="181717"/>
        </w:rPr>
      </w:pP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33" w:before="0" w:after="0"/>
        <w:jc w:val="right"/>
        <w:rPr>
          <w:color w:val="181717"/>
        </w:rPr>
      </w:pP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Act).</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w:t>
      </w:r>
    </w:p>
    <w:p>
      <w:pPr>
        <w:pStyle w:val="TextBody"/>
        <w:bidi w:val="0"/>
        <w:spacing w:lineRule="auto" w:line="333" w:before="240" w:after="283"/>
        <w:jc w:val="left"/>
        <w:rPr/>
      </w:pPr>
      <w:r>
        <w:rPr>
          <w:rFonts w:ascii="Times New Roman;serif" w:hAnsi="Times New Roman;serif"/>
          <w:b w:val="false"/>
          <w:color w:val="181717"/>
          <w:sz w:val="20"/>
        </w:rPr>
        <w:t xml:space="preserve">The aggregate market value of the Class A common stock held by non-affiliates of the registrant, based on the closing price of a share of Class A common stock on December 17, 2025, as reported by The Nasdaq Global Select Market on such date was approximately </w:t>
      </w:r>
      <w:r>
        <w:rPr>
          <w:rFonts w:ascii="Times New Roman;serif" w:hAnsi="Times New Roman;serif"/>
          <w:b w:val="false"/>
          <w:color w:val="000000"/>
          <w:sz w:val="20"/>
        </w:rPr>
        <w:t>$13.0</w:t>
      </w:r>
      <w:r>
        <w:rPr>
          <w:color w:val="181717"/>
        </w:rPr>
        <w:t xml:space="preserve"> </w:t>
      </w:r>
      <w:r>
        <w:rPr>
          <w:rFonts w:ascii="Times New Roman;serif" w:hAnsi="Times New Roman;serif"/>
          <w:b w:val="false"/>
          <w:color w:val="181717"/>
          <w:sz w:val="20"/>
        </w:rPr>
        <w:t>billion.</w:t>
      </w:r>
      <w:r>
        <w:rPr>
          <w:color w:val="000000"/>
        </w:rPr>
        <w:t xml:space="preserve"> </w:t>
      </w:r>
      <w:r>
        <w:rPr>
          <w:rFonts w:ascii="Times New Roman;serif" w:hAnsi="Times New Roman;serif"/>
          <w:b w:val="false"/>
          <w:color w:val="181717"/>
          <w:sz w:val="20"/>
        </w:rPr>
        <w:t>The registrant has elected to use December 17, 2025, which was the initial trading date of the registrant’s Class A common stock on The Nasdaq Global Select Market, as the calculation date because on June 30, 2025 (the last business day of the registrant’s most recently completed second fiscal quarter) the registrant was a privately held company. This calculation does not reflect a determination that certain persons are affiliates of the registrant for any other purpose.</w:t>
      </w:r>
    </w:p>
    <w:p>
      <w:pPr>
        <w:pStyle w:val="TextBody"/>
        <w:bidi w:val="0"/>
        <w:spacing w:lineRule="auto" w:line="333" w:before="240" w:after="283"/>
        <w:jc w:val="left"/>
        <w:rPr/>
      </w:pPr>
      <w:r>
        <w:rPr>
          <w:rFonts w:ascii="Times New Roman;serif" w:hAnsi="Times New Roman;serif"/>
          <w:b w:val="false"/>
          <w:color w:val="181717"/>
          <w:sz w:val="20"/>
        </w:rPr>
        <w:t xml:space="preserve">As of February 23, 2026, there were </w:t>
      </w:r>
      <w:r>
        <w:rPr>
          <w:rFonts w:ascii="Times New Roman;serif" w:hAnsi="Times New Roman;serif"/>
          <w:b w:val="false"/>
          <w:color w:val="000000"/>
          <w:sz w:val="20"/>
        </w:rPr>
        <w:t>811,647,534</w:t>
      </w:r>
      <w:r>
        <w:rPr>
          <w:color w:val="181717"/>
        </w:rPr>
        <w:t xml:space="preserve"> </w:t>
      </w:r>
      <w:r>
        <w:rPr>
          <w:rFonts w:ascii="Times New Roman;serif" w:hAnsi="Times New Roman;serif"/>
          <w:b w:val="false"/>
          <w:color w:val="181717"/>
          <w:sz w:val="20"/>
        </w:rPr>
        <w:t xml:space="preserve">shares of the registrant’s Class A common stock and </w:t>
      </w:r>
      <w:r>
        <w:rPr>
          <w:rFonts w:ascii="Times New Roman;serif" w:hAnsi="Times New Roman;serif"/>
          <w:b w:val="false"/>
          <w:color w:val="000000"/>
          <w:sz w:val="20"/>
        </w:rPr>
        <w:t xml:space="preserve">502,045,878 </w:t>
      </w:r>
      <w:r>
        <w:rPr>
          <w:rFonts w:ascii="Times New Roman;serif" w:hAnsi="Times New Roman;serif"/>
          <w:b w:val="false"/>
          <w:color w:val="181717"/>
          <w:sz w:val="20"/>
        </w:rPr>
        <w:t xml:space="preserve">shares of the registrant’s Class B common stock outstanding. </w:t>
      </w:r>
    </w:p>
    <w:p>
      <w:pPr>
        <w:pStyle w:val="TextBody"/>
        <w:bidi w:val="0"/>
        <w:spacing w:lineRule="auto" w:line="333" w:before="240" w:after="283"/>
        <w:jc w:val="center"/>
        <w:rPr>
          <w:rFonts w:ascii="Times New Roman;serif" w:hAnsi="Times New Roman;serif"/>
          <w:b w:val="false"/>
          <w:color w:val="181717"/>
          <w:sz w:val="20"/>
        </w:rPr>
      </w:pPr>
      <w:r>
        <w:rPr>
          <w:rFonts w:ascii="Times New Roman;serif" w:hAnsi="Times New Roman;serif"/>
          <w:b w:val="false"/>
          <w:color w:val="181717"/>
          <w:sz w:val="20"/>
        </w:rPr>
        <w:t>DOCUMENTS INCORPORATED BY REFERENCE</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Portions of the registrant’s definitive Proxy Statement related to its 2026 Annual Meeting of Stockholders to be filed with the U.S. Securities and Exchange Commission within 120 days after the end of the fiscal year ended December 31, 2025 are incorporated by reference into Part III of this Annual Report on Form 10-K.</w:t>
      </w: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before="0" w:after="0"/>
        <w:jc w:val="center"/>
        <w:rPr/>
      </w:pPr>
      <w:r>
        <w:rPr/>
      </w:r>
    </w:p>
    <w:tbl>
      <w:tblPr>
        <w:tblW w:w="9062" w:type="dxa"/>
        <w:jc w:val="center"/>
        <w:tblInd w:w="0" w:type="dxa"/>
        <w:tblLayout w:type="fixed"/>
        <w:tblCellMar>
          <w:top w:w="28" w:type="dxa"/>
          <w:left w:w="28" w:type="dxa"/>
          <w:bottom w:w="28" w:type="dxa"/>
          <w:right w:w="28" w:type="dxa"/>
        </w:tblCellMar>
      </w:tblPr>
      <w:tblGrid>
        <w:gridCol w:w="158"/>
        <w:gridCol w:w="138"/>
        <w:gridCol w:w="140"/>
        <w:gridCol w:w="2681"/>
        <w:gridCol w:w="2681"/>
        <w:gridCol w:w="2723"/>
        <w:gridCol w:w="158"/>
        <w:gridCol w:w="158"/>
        <w:gridCol w:w="225"/>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Item</w:t>
            </w:r>
          </w:p>
        </w:tc>
        <w:tc>
          <w:tcPr>
            <w:tcW w:w="8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cdc18ea91cf4e9db5b992dbaf20b1e9_1397">
              <w:r>
                <w:rPr>
                  <w:rStyle w:val="InternetLink"/>
                  <w:rFonts w:ascii="Times New Roman;serif" w:hAnsi="Times New Roman;serif"/>
                  <w:b w:val="false"/>
                  <w:color w:val="000080"/>
                  <w:sz w:val="18"/>
                  <w:u w:val="single"/>
                </w:rPr>
                <w:t>P</w:t>
              </w:r>
            </w:hyperlink>
            <w:hyperlink w:anchor="i1cdc18ea91cf4e9db5b992dbaf20b1e9_1397">
              <w:r>
                <w:rPr>
                  <w:rStyle w:val="InternetLink"/>
                  <w:rFonts w:ascii="Times New Roman;serif" w:hAnsi="Times New Roman;serif"/>
                  <w:b w:val="false"/>
                  <w:color w:val="000080"/>
                  <w:sz w:val="18"/>
                  <w:u w:val="single"/>
                </w:rPr>
                <w:t>ART</w:t>
              </w:r>
            </w:hyperlink>
            <w:hyperlink w:anchor="i1cdc18ea91cf4e9db5b992dbaf20b1e9_1397">
              <w:r>
                <w:rPr>
                  <w:rStyle w:val="InternetLink"/>
                  <w:rFonts w:ascii="Times New Roman;serif" w:hAnsi="Times New Roman;serif"/>
                  <w:b w:val="false"/>
                  <w:color w:val="000080"/>
                  <w:sz w:val="18"/>
                  <w:u w:val="single"/>
                </w:rPr>
                <w:t xml:space="preserve"> I</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993">
              <w:r>
                <w:rPr>
                  <w:rStyle w:val="InternetLink"/>
                  <w:rFonts w:ascii="Times New Roman;serif" w:hAnsi="Times New Roman;serif"/>
                  <w:b w:val="false"/>
                  <w:color w:val="0000FF"/>
                  <w:sz w:val="18"/>
                  <w:u w:val="single"/>
                </w:rPr>
                <w:t>Business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993">
              <w:r>
                <w:rPr>
                  <w:rStyle w:val="InternetLink"/>
                  <w:rFonts w:ascii="Times New Roman;serif" w:hAnsi="Times New Roman;serif"/>
                  <w:b w:val="false"/>
                  <w:strike w:val="false"/>
                  <w:dstrike w:val="false"/>
                  <w:color w:val="000000"/>
                  <w:sz w:val="20"/>
                  <w:u w:val="none"/>
                  <w:effect w:val="none"/>
                </w:rPr>
                <w:t>7</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1A.</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007">
              <w:r>
                <w:rPr>
                  <w:rStyle w:val="InternetLink"/>
                  <w:rFonts w:ascii="Times New Roman;serif" w:hAnsi="Times New Roman;serif"/>
                  <w:b w:val="false"/>
                  <w:color w:val="0000FF"/>
                  <w:sz w:val="18"/>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07">
              <w:r>
                <w:rPr>
                  <w:rStyle w:val="InternetLink"/>
                  <w:rFonts w:ascii="Times New Roman;serif" w:hAnsi="Times New Roman;serif"/>
                  <w:b w:val="false"/>
                  <w:strike w:val="false"/>
                  <w:dstrike w:val="false"/>
                  <w:color w:val="000000"/>
                  <w:sz w:val="20"/>
                  <w:u w:val="none"/>
                  <w:effect w:val="none"/>
                </w:rPr>
                <w:t>22</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1B.</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012">
              <w:r>
                <w:rPr>
                  <w:rStyle w:val="InternetLink"/>
                  <w:rFonts w:ascii="Times New Roman;serif" w:hAnsi="Times New Roman;serif"/>
                  <w:b w:val="false"/>
                  <w:color w:val="0000FF"/>
                  <w:sz w:val="18"/>
                  <w:u w:val="single"/>
                </w:rPr>
                <w:t>Unresolved Staff Comments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12">
              <w:r>
                <w:rPr>
                  <w:rStyle w:val="InternetLink"/>
                  <w:rFonts w:ascii="Times New Roman;serif" w:hAnsi="Times New Roman;serif"/>
                  <w:b w:val="false"/>
                  <w:strike w:val="false"/>
                  <w:dstrike w:val="false"/>
                  <w:color w:val="000000"/>
                  <w:sz w:val="20"/>
                  <w:u w:val="none"/>
                  <w:effect w:val="none"/>
                </w:rPr>
                <w:t>55</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1C.</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999">
              <w:r>
                <w:rPr>
                  <w:rStyle w:val="InternetLink"/>
                  <w:rFonts w:ascii="Times New Roman;serif" w:hAnsi="Times New Roman;serif"/>
                  <w:b w:val="false"/>
                  <w:color w:val="000080"/>
                  <w:sz w:val="18"/>
                  <w:u w:val="single"/>
                </w:rPr>
                <w:t>C</w:t>
              </w:r>
            </w:hyperlink>
            <w:hyperlink w:anchor="i1cdc18ea91cf4e9db5b992dbaf20b1e9_999">
              <w:r>
                <w:rPr>
                  <w:rStyle w:val="InternetLink"/>
                  <w:rFonts w:ascii="Times New Roman;serif" w:hAnsi="Times New Roman;serif"/>
                  <w:b w:val="false"/>
                  <w:color w:val="000080"/>
                  <w:sz w:val="18"/>
                  <w:u w:val="single"/>
                </w:rPr>
                <w:t>ybersec</w:t>
              </w:r>
            </w:hyperlink>
            <w:hyperlink w:anchor="i1cdc18ea91cf4e9db5b992dbaf20b1e9_999">
              <w:r>
                <w:rPr>
                  <w:rStyle w:val="InternetLink"/>
                  <w:rFonts w:ascii="Times New Roman;serif" w:hAnsi="Times New Roman;serif"/>
                  <w:b w:val="false"/>
                  <w:color w:val="000080"/>
                  <w:sz w:val="18"/>
                  <w:u w:val="single"/>
                </w:rPr>
                <w:t>urity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999">
              <w:r>
                <w:rPr>
                  <w:rStyle w:val="InternetLink"/>
                  <w:rFonts w:ascii="Times New Roman;serif" w:hAnsi="Times New Roman;serif"/>
                  <w:b w:val="false"/>
                  <w:strike w:val="false"/>
                  <w:dstrike w:val="false"/>
                  <w:color w:val="000000"/>
                  <w:sz w:val="20"/>
                  <w:u w:val="none"/>
                  <w:effect w:val="none"/>
                </w:rPr>
                <w:t>55</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020">
              <w:r>
                <w:rPr>
                  <w:rStyle w:val="InternetLink"/>
                  <w:rFonts w:ascii="Times New Roman;serif" w:hAnsi="Times New Roman;serif"/>
                  <w:b w:val="false"/>
                  <w:color w:val="0000FF"/>
                  <w:sz w:val="18"/>
                  <w:u w:val="single"/>
                </w:rPr>
                <w:t>Properties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20">
              <w:r>
                <w:rPr>
                  <w:rStyle w:val="InternetLink"/>
                  <w:rFonts w:ascii="Times New Roman;serif" w:hAnsi="Times New Roman;serif"/>
                  <w:b w:val="false"/>
                  <w:strike w:val="false"/>
                  <w:dstrike w:val="false"/>
                  <w:color w:val="000000"/>
                  <w:sz w:val="20"/>
                  <w:u w:val="none"/>
                  <w:effect w:val="none"/>
                </w:rPr>
                <w:t>56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027">
              <w:r>
                <w:rPr>
                  <w:rStyle w:val="InternetLink"/>
                  <w:rFonts w:ascii="Times New Roman;serif" w:hAnsi="Times New Roman;serif"/>
                  <w:b w:val="false"/>
                  <w:color w:val="000080"/>
                  <w:sz w:val="18"/>
                  <w:u w:val="single"/>
                </w:rPr>
                <w:t>L</w:t>
              </w:r>
            </w:hyperlink>
            <w:hyperlink w:anchor="i1cdc18ea91cf4e9db5b992dbaf20b1e9_1027">
              <w:r>
                <w:rPr>
                  <w:rStyle w:val="InternetLink"/>
                  <w:rFonts w:ascii="Times New Roman;serif" w:hAnsi="Times New Roman;serif"/>
                  <w:b w:val="false"/>
                  <w:color w:val="000080"/>
                  <w:sz w:val="18"/>
                  <w:u w:val="single"/>
                </w:rPr>
                <w:t>egal P</w:t>
              </w:r>
            </w:hyperlink>
            <w:hyperlink w:anchor="i1cdc18ea91cf4e9db5b992dbaf20b1e9_1027">
              <w:r>
                <w:rPr>
                  <w:rStyle w:val="InternetLink"/>
                  <w:rFonts w:ascii="Times New Roman;serif" w:hAnsi="Times New Roman;serif"/>
                  <w:b w:val="false"/>
                  <w:color w:val="000080"/>
                  <w:sz w:val="18"/>
                  <w:u w:val="single"/>
                </w:rPr>
                <w:t>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27">
              <w:r>
                <w:rPr>
                  <w:rStyle w:val="InternetLink"/>
                  <w:rFonts w:ascii="Times New Roman;serif" w:hAnsi="Times New Roman;serif"/>
                  <w:b w:val="false"/>
                  <w:strike w:val="false"/>
                  <w:dstrike w:val="false"/>
                  <w:color w:val="000000"/>
                  <w:sz w:val="20"/>
                  <w:u w:val="none"/>
                  <w:effect w:val="none"/>
                </w:rPr>
                <w:t>56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033">
              <w:r>
                <w:rPr>
                  <w:rStyle w:val="InternetLink"/>
                  <w:rFonts w:ascii="Times New Roman;serif" w:hAnsi="Times New Roman;serif"/>
                  <w:b w:val="false"/>
                  <w:color w:val="000080"/>
                  <w:sz w:val="18"/>
                  <w:u w:val="single"/>
                </w:rPr>
                <w:t>M</w:t>
              </w:r>
            </w:hyperlink>
            <w:hyperlink w:anchor="i1cdc18ea91cf4e9db5b992dbaf20b1e9_1033">
              <w:r>
                <w:rPr>
                  <w:rStyle w:val="InternetLink"/>
                  <w:rFonts w:ascii="Times New Roman;serif" w:hAnsi="Times New Roman;serif"/>
                  <w:b w:val="false"/>
                  <w:color w:val="000080"/>
                  <w:sz w:val="18"/>
                  <w:u w:val="single"/>
                </w:rPr>
                <w:t xml:space="preserve">ine Safety </w:t>
              </w:r>
            </w:hyperlink>
            <w:hyperlink w:anchor="i1cdc18ea91cf4e9db5b992dbaf20b1e9_1033">
              <w:r>
                <w:rPr>
                  <w:rStyle w:val="InternetLink"/>
                  <w:rFonts w:ascii="Times New Roman;serif" w:hAnsi="Times New Roman;serif"/>
                  <w:b w:val="false"/>
                  <w:color w:val="000080"/>
                  <w:sz w:val="18"/>
                  <w:u w:val="single"/>
                </w:rPr>
                <w:t>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33">
              <w:r>
                <w:rPr>
                  <w:rStyle w:val="InternetLink"/>
                  <w:rFonts w:ascii="Times New Roman;serif" w:hAnsi="Times New Roman;serif"/>
                  <w:b w:val="false"/>
                  <w:strike w:val="false"/>
                  <w:dstrike w:val="false"/>
                  <w:color w:val="000000"/>
                  <w:sz w:val="20"/>
                  <w:u w:val="none"/>
                  <w:effect w:val="none"/>
                </w:rPr>
                <w:t>57</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cdc18ea91cf4e9db5b992dbaf20b1e9_1410">
              <w:r>
                <w:rPr>
                  <w:rStyle w:val="InternetLink"/>
                  <w:rFonts w:ascii="Times New Roman;serif" w:hAnsi="Times New Roman;serif"/>
                  <w:b w:val="false"/>
                  <w:color w:val="000080"/>
                  <w:sz w:val="18"/>
                  <w:u w:val="single"/>
                </w:rPr>
                <w:t>P</w:t>
              </w:r>
            </w:hyperlink>
            <w:hyperlink w:anchor="i1cdc18ea91cf4e9db5b992dbaf20b1e9_1410">
              <w:r>
                <w:rPr>
                  <w:rStyle w:val="InternetLink"/>
                  <w:rFonts w:ascii="Times New Roman;serif" w:hAnsi="Times New Roman;serif"/>
                  <w:b w:val="false"/>
                  <w:color w:val="000080"/>
                  <w:sz w:val="18"/>
                  <w:u w:val="single"/>
                </w:rPr>
                <w:t>ART II</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039">
              <w:r>
                <w:rPr>
                  <w:rStyle w:val="InternetLink"/>
                  <w:rFonts w:ascii="Times New Roman;serif" w:hAnsi="Times New Roman;serif"/>
                  <w:b w:val="false"/>
                  <w:color w:val="0000FF"/>
                  <w:sz w:val="18"/>
                  <w:u w:val="single"/>
                </w:rPr>
                <w:t>Market for Registrant's Common Equity, Related Stockholder Matters, and Issuer Purchases of Equity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39">
              <w:r>
                <w:rPr>
                  <w:rStyle w:val="InternetLink"/>
                  <w:rFonts w:ascii="Times New Roman;serif" w:hAnsi="Times New Roman;serif"/>
                  <w:b w:val="false"/>
                  <w:strike w:val="false"/>
                  <w:dstrike w:val="false"/>
                  <w:color w:val="000000"/>
                  <w:sz w:val="20"/>
                  <w:u w:val="none"/>
                  <w:effect w:val="none"/>
                </w:rPr>
                <w:t>58</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t>
            </w:r>
            <w:hyperlink w:anchor="i1cdc18ea91cf4e9db5b992dbaf20b1e9_1065">
              <w:r>
                <w:rPr>
                  <w:rStyle w:val="InternetLink"/>
                  <w:rFonts w:ascii="Times New Roman;serif" w:hAnsi="Times New Roman;serif"/>
                  <w:b w:val="false"/>
                  <w:color w:val="000080"/>
                  <w:sz w:val="18"/>
                  <w:u w:val="single"/>
                </w:rPr>
                <w:t>R</w:t>
              </w:r>
            </w:hyperlink>
            <w:hyperlink w:anchor="i1cdc18ea91cf4e9db5b992dbaf20b1e9_1065">
              <w:r>
                <w:rPr>
                  <w:rStyle w:val="InternetLink"/>
                  <w:rFonts w:ascii="Times New Roman;serif" w:hAnsi="Times New Roman;serif"/>
                  <w:b w:val="false"/>
                  <w:color w:val="000080"/>
                  <w:sz w:val="18"/>
                  <w:u w:val="single"/>
                </w:rPr>
                <w:t>eserved</w:t>
              </w:r>
            </w:hyperlink>
            <w:r>
              <w:rPr>
                <w:rFonts w:ascii="Times New Roman;serif" w:hAnsi="Times New Roman;serif"/>
                <w:b w:val="false"/>
                <w:color w:val="000000"/>
                <w:sz w:val="18"/>
              </w:rPr>
              <w: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65">
              <w:r>
                <w:rPr>
                  <w:rStyle w:val="InternetLink"/>
                  <w:rFonts w:ascii="Times New Roman;serif" w:hAnsi="Times New Roman;serif"/>
                  <w:b w:val="false"/>
                  <w:strike w:val="false"/>
                  <w:dstrike w:val="false"/>
                  <w:color w:val="000000"/>
                  <w:sz w:val="20"/>
                  <w:u w:val="none"/>
                  <w:effect w:val="none"/>
                </w:rPr>
                <w:t>60</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3">
              <w:r>
                <w:rPr>
                  <w:rStyle w:val="InternetLink"/>
                  <w:rFonts w:ascii="Times New Roman;serif" w:hAnsi="Times New Roman;serif"/>
                  <w:b w:val="false"/>
                  <w:color w:val="000080"/>
                  <w:sz w:val="18"/>
                  <w:u w:val="single"/>
                </w:rPr>
                <w:t>M</w:t>
              </w:r>
            </w:hyperlink>
            <w:hyperlink w:anchor="i1cdc18ea91cf4e9db5b992dbaf20b1e9_13">
              <w:r>
                <w:rPr>
                  <w:rStyle w:val="InternetLink"/>
                  <w:rFonts w:ascii="Times New Roman;serif" w:hAnsi="Times New Roman;serif"/>
                  <w:b w:val="false"/>
                  <w:color w:val="000080"/>
                  <w:sz w:val="18"/>
                  <w:u w:val="single"/>
                </w:rPr>
                <w:t>anagement</w:t>
              </w:r>
            </w:hyperlink>
            <w:hyperlink w:anchor="i1cdc18ea91cf4e9db5b992dbaf20b1e9_13">
              <w:r>
                <w:rPr>
                  <w:rStyle w:val="InternetLink"/>
                  <w:rFonts w:ascii="Times New Roman;serif" w:hAnsi="Times New Roman;serif"/>
                  <w:b w:val="false"/>
                  <w:color w:val="000080"/>
                  <w:sz w:val="18"/>
                  <w:u w:val="single"/>
                </w:rPr>
                <w:t>’</w:t>
              </w:r>
            </w:hyperlink>
            <w:hyperlink w:anchor="i1cdc18ea91cf4e9db5b992dbaf20b1e9_13">
              <w:r>
                <w:rPr>
                  <w:rStyle w:val="InternetLink"/>
                  <w:rFonts w:ascii="Times New Roman;serif" w:hAnsi="Times New Roman;serif"/>
                  <w:b w:val="false"/>
                  <w:color w:val="000080"/>
                  <w:sz w:val="18"/>
                  <w:u w:val="single"/>
                </w:rPr>
                <w: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3">
              <w:r>
                <w:rPr>
                  <w:rStyle w:val="InternetLink"/>
                  <w:rFonts w:ascii="Times New Roman;serif" w:hAnsi="Times New Roman;serif"/>
                  <w:b w:val="false"/>
                  <w:strike w:val="false"/>
                  <w:dstrike w:val="false"/>
                  <w:color w:val="000000"/>
                  <w:sz w:val="20"/>
                  <w:u w:val="none"/>
                  <w:effect w:val="none"/>
                </w:rPr>
                <w:t>61</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7A.</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073">
              <w:r>
                <w:rPr>
                  <w:rStyle w:val="InternetLink"/>
                  <w:rFonts w:ascii="Times New Roman;serif" w:hAnsi="Times New Roman;serif"/>
                  <w:b w:val="false"/>
                  <w:color w:val="000080"/>
                  <w:sz w:val="18"/>
                  <w:u w:val="single"/>
                </w:rPr>
                <w:t>Q</w:t>
              </w:r>
            </w:hyperlink>
            <w:hyperlink w:anchor="i1cdc18ea91cf4e9db5b992dbaf20b1e9_1073">
              <w:r>
                <w:rPr>
                  <w:rStyle w:val="InternetLink"/>
                  <w:rFonts w:ascii="Times New Roman;serif" w:hAnsi="Times New Roman;serif"/>
                  <w:b w:val="false"/>
                  <w:color w:val="000080"/>
                  <w:sz w:val="18"/>
                  <w:u w:val="single"/>
                </w:rPr>
                <w:t>u</w:t>
              </w:r>
            </w:hyperlink>
            <w:hyperlink w:anchor="i1cdc18ea91cf4e9db5b992dbaf20b1e9_1073">
              <w:r>
                <w:rPr>
                  <w:rStyle w:val="InternetLink"/>
                  <w:rFonts w:ascii="Times New Roman;serif" w:hAnsi="Times New Roman;serif"/>
                  <w:b w:val="false"/>
                  <w:color w:val="000080"/>
                  <w:sz w:val="18"/>
                  <w:u w:val="single"/>
                </w:rPr>
                <w:t>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73">
              <w:r>
                <w:rPr>
                  <w:rStyle w:val="InternetLink"/>
                  <w:rFonts w:ascii="Times New Roman;serif" w:hAnsi="Times New Roman;serif"/>
                  <w:b w:val="false"/>
                  <w:strike w:val="false"/>
                  <w:dstrike w:val="false"/>
                  <w:color w:val="000000"/>
                  <w:sz w:val="20"/>
                  <w:u w:val="none"/>
                  <w:effect w:val="none"/>
                </w:rPr>
                <w:t>78</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8.</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88">
              <w:r>
                <w:rPr>
                  <w:rStyle w:val="InternetLink"/>
                  <w:rFonts w:ascii="Times New Roman;serif" w:hAnsi="Times New Roman;serif"/>
                  <w:b w:val="false"/>
                  <w:color w:val="0000FF"/>
                  <w:sz w:val="18"/>
                  <w:u w:val="single"/>
                </w:rPr>
                <w:t>Financial Statements and Supplementary Data</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88">
              <w:r>
                <w:rPr>
                  <w:rStyle w:val="InternetLink"/>
                  <w:rFonts w:ascii="Times New Roman;serif" w:hAnsi="Times New Roman;serif"/>
                  <w:b w:val="false"/>
                  <w:strike w:val="false"/>
                  <w:dstrike w:val="false"/>
                  <w:color w:val="000000"/>
                  <w:sz w:val="20"/>
                  <w:u w:val="none"/>
                  <w:effect w:val="none"/>
                </w:rPr>
                <w:t>80</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138">
              <w:r>
                <w:rPr>
                  <w:rStyle w:val="InternetLink"/>
                  <w:rFonts w:ascii="Times New Roman;serif" w:hAnsi="Times New Roman;serif"/>
                  <w:b w:val="false"/>
                  <w:color w:val="0000FF"/>
                  <w:sz w:val="18"/>
                  <w:u w:val="single"/>
                </w:rPr>
                <w:t>Changes in and Disagreements with Accountants on Accounting and Financial Disclosure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138">
              <w:r>
                <w:rPr>
                  <w:rStyle w:val="InternetLink"/>
                  <w:rFonts w:ascii="Times New Roman;serif" w:hAnsi="Times New Roman;serif"/>
                  <w:b w:val="false"/>
                  <w:strike w:val="false"/>
                  <w:dstrike w:val="false"/>
                  <w:color w:val="000000"/>
                  <w:sz w:val="20"/>
                  <w:u w:val="none"/>
                  <w:effect w:val="none"/>
                </w:rPr>
                <w:t>135</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9A.</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161">
              <w:r>
                <w:rPr>
                  <w:rStyle w:val="InternetLink"/>
                  <w:rFonts w:ascii="Times New Roman;serif" w:hAnsi="Times New Roman;serif"/>
                  <w:b w:val="false"/>
                  <w:color w:val="0000FF"/>
                  <w:sz w:val="18"/>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161">
              <w:r>
                <w:rPr>
                  <w:rStyle w:val="InternetLink"/>
                  <w:rFonts w:ascii="Times New Roman;serif" w:hAnsi="Times New Roman;serif"/>
                  <w:b w:val="false"/>
                  <w:strike w:val="false"/>
                  <w:dstrike w:val="false"/>
                  <w:color w:val="000000"/>
                  <w:sz w:val="20"/>
                  <w:u w:val="none"/>
                  <w:effect w:val="none"/>
                </w:rPr>
                <w:t>135</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9B.</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156">
              <w:r>
                <w:rPr>
                  <w:rStyle w:val="InternetLink"/>
                  <w:rFonts w:ascii="Times New Roman;serif" w:hAnsi="Times New Roman;serif"/>
                  <w:b w:val="false"/>
                  <w:color w:val="0000FF"/>
                  <w:sz w:val="18"/>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156">
              <w:r>
                <w:rPr>
                  <w:rStyle w:val="InternetLink"/>
                  <w:rFonts w:ascii="Times New Roman;serif" w:hAnsi="Times New Roman;serif"/>
                  <w:b w:val="false"/>
                  <w:strike w:val="false"/>
                  <w:dstrike w:val="false"/>
                  <w:color w:val="000000"/>
                  <w:sz w:val="20"/>
                  <w:u w:val="none"/>
                  <w:effect w:val="none"/>
                </w:rPr>
                <w:t>135</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9C.</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151">
              <w:r>
                <w:rPr>
                  <w:rStyle w:val="InternetLink"/>
                  <w:rFonts w:ascii="Times New Roman;serif" w:hAnsi="Times New Roman;serif"/>
                  <w:b w:val="false"/>
                  <w:color w:val="0000FF"/>
                  <w:sz w:val="18"/>
                  <w:u w:val="single"/>
                </w:rPr>
                <w:t>Disclosure Regarding Foreign Jurisdictions that Prevent Inspections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151">
              <w:r>
                <w:rPr>
                  <w:rStyle w:val="InternetLink"/>
                  <w:rFonts w:ascii="Times New Roman;serif" w:hAnsi="Times New Roman;serif"/>
                  <w:b w:val="false"/>
                  <w:strike w:val="false"/>
                  <w:dstrike w:val="false"/>
                  <w:color w:val="000000"/>
                  <w:sz w:val="20"/>
                  <w:u w:val="none"/>
                  <w:effect w:val="none"/>
                </w:rPr>
                <w:t>136</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cdc18ea91cf4e9db5b992dbaf20b1e9_1432">
              <w:r>
                <w:rPr>
                  <w:rStyle w:val="InternetLink"/>
                  <w:rFonts w:ascii="Times New Roman;serif" w:hAnsi="Times New Roman;serif"/>
                  <w:b w:val="false"/>
                  <w:color w:val="000080"/>
                  <w:sz w:val="18"/>
                  <w:u w:val="single"/>
                </w:rPr>
                <w:t>P</w:t>
              </w:r>
            </w:hyperlink>
            <w:hyperlink w:anchor="i1cdc18ea91cf4e9db5b992dbaf20b1e9_1432">
              <w:r>
                <w:rPr>
                  <w:rStyle w:val="InternetLink"/>
                  <w:rFonts w:ascii="Times New Roman;serif" w:hAnsi="Times New Roman;serif"/>
                  <w:b w:val="false"/>
                  <w:color w:val="000080"/>
                  <w:sz w:val="18"/>
                  <w:u w:val="single"/>
                </w:rPr>
                <w:t>ART III</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146">
              <w:r>
                <w:rPr>
                  <w:rStyle w:val="InternetLink"/>
                  <w:rFonts w:ascii="Times New Roman;serif" w:hAnsi="Times New Roman;serif"/>
                  <w:b w:val="false"/>
                  <w:color w:val="0000FF"/>
                  <w:sz w:val="18"/>
                  <w:u w:val="single"/>
                </w:rPr>
                <w:t>Directors, Executive Officers, and Corporate Governance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146">
              <w:r>
                <w:rPr>
                  <w:rStyle w:val="InternetLink"/>
                  <w:rFonts w:ascii="Times New Roman;serif" w:hAnsi="Times New Roman;serif"/>
                  <w:b w:val="false"/>
                  <w:strike w:val="false"/>
                  <w:dstrike w:val="false"/>
                  <w:color w:val="000000"/>
                  <w:sz w:val="20"/>
                  <w:u w:val="none"/>
                  <w:effect w:val="none"/>
                </w:rPr>
                <w:t>136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11.</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181">
              <w:r>
                <w:rPr>
                  <w:rStyle w:val="InternetLink"/>
                  <w:rFonts w:ascii="Times New Roman;serif" w:hAnsi="Times New Roman;serif"/>
                  <w:b w:val="false"/>
                  <w:color w:val="0000FF"/>
                  <w:sz w:val="18"/>
                  <w:u w:val="single"/>
                </w:rPr>
                <w:t>Executive 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181">
              <w:r>
                <w:rPr>
                  <w:rStyle w:val="InternetLink"/>
                  <w:rFonts w:ascii="Times New Roman;serif" w:hAnsi="Times New Roman;serif"/>
                  <w:b w:val="false"/>
                  <w:strike w:val="false"/>
                  <w:dstrike w:val="false"/>
                  <w:color w:val="000000"/>
                  <w:sz w:val="20"/>
                  <w:u w:val="none"/>
                  <w:effect w:val="none"/>
                </w:rPr>
                <w:t>136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176">
              <w:r>
                <w:rPr>
                  <w:rStyle w:val="InternetLink"/>
                  <w:rFonts w:ascii="Times New Roman;serif" w:hAnsi="Times New Roman;serif"/>
                  <w:b w:val="false"/>
                  <w:color w:val="0000FF"/>
                  <w:sz w:val="18"/>
                  <w:u w:val="single"/>
                </w:rPr>
                <w:t>Security Ownership of Certain Beneficial Owners and Management and Related Stockholder Matters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176">
              <w:r>
                <w:rPr>
                  <w:rStyle w:val="InternetLink"/>
                  <w:rFonts w:ascii="Times New Roman;serif" w:hAnsi="Times New Roman;serif"/>
                  <w:b w:val="false"/>
                  <w:strike w:val="false"/>
                  <w:dstrike w:val="false"/>
                  <w:color w:val="000000"/>
                  <w:sz w:val="20"/>
                  <w:u w:val="none"/>
                  <w:effect w:val="none"/>
                </w:rPr>
                <w:t>136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13.</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171">
              <w:r>
                <w:rPr>
                  <w:rStyle w:val="InternetLink"/>
                  <w:rFonts w:ascii="Times New Roman;serif" w:hAnsi="Times New Roman;serif"/>
                  <w:b w:val="false"/>
                  <w:color w:val="0000FF"/>
                  <w:sz w:val="18"/>
                  <w:u w:val="single"/>
                </w:rPr>
                <w:t>Certain Relationships and Related Transactions, and Director Independence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171">
              <w:r>
                <w:rPr>
                  <w:rStyle w:val="InternetLink"/>
                  <w:rFonts w:ascii="Times New Roman;serif" w:hAnsi="Times New Roman;serif"/>
                  <w:b w:val="false"/>
                  <w:strike w:val="false"/>
                  <w:dstrike w:val="false"/>
                  <w:color w:val="000000"/>
                  <w:sz w:val="20"/>
                  <w:u w:val="none"/>
                  <w:effect w:val="none"/>
                </w:rPr>
                <w:t>136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14.</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194">
              <w:r>
                <w:rPr>
                  <w:rStyle w:val="InternetLink"/>
                  <w:rFonts w:ascii="Times New Roman;serif" w:hAnsi="Times New Roman;serif"/>
                  <w:b w:val="false"/>
                  <w:color w:val="0000FF"/>
                  <w:sz w:val="18"/>
                  <w:u w:val="single"/>
                </w:rPr>
                <w:t>Principal Accountant Fees and Services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194">
              <w:r>
                <w:rPr>
                  <w:rStyle w:val="InternetLink"/>
                  <w:rFonts w:ascii="Times New Roman;serif" w:hAnsi="Times New Roman;serif"/>
                  <w:b w:val="false"/>
                  <w:strike w:val="false"/>
                  <w:dstrike w:val="false"/>
                  <w:color w:val="000000"/>
                  <w:sz w:val="20"/>
                  <w:u w:val="none"/>
                  <w:effect w:val="none"/>
                </w:rPr>
                <w:t>136</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cdc18ea91cf4e9db5b992dbaf20b1e9_1443">
              <w:r>
                <w:rPr>
                  <w:rStyle w:val="InternetLink"/>
                  <w:rFonts w:ascii="Times New Roman;serif" w:hAnsi="Times New Roman;serif"/>
                  <w:b w:val="false"/>
                  <w:color w:val="000080"/>
                  <w:sz w:val="18"/>
                  <w:u w:val="single"/>
                </w:rPr>
                <w:t>P</w:t>
              </w:r>
            </w:hyperlink>
            <w:hyperlink w:anchor="i1cdc18ea91cf4e9db5b992dbaf20b1e9_1443">
              <w:r>
                <w:rPr>
                  <w:rStyle w:val="InternetLink"/>
                  <w:rFonts w:ascii="Times New Roman;serif" w:hAnsi="Times New Roman;serif"/>
                  <w:b w:val="false"/>
                  <w:color w:val="000080"/>
                  <w:sz w:val="18"/>
                  <w:u w:val="single"/>
                </w:rPr>
                <w:t>ART IV</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15.</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189">
              <w:r>
                <w:rPr>
                  <w:rStyle w:val="InternetLink"/>
                  <w:rFonts w:ascii="Times New Roman;serif" w:hAnsi="Times New Roman;serif"/>
                  <w:b w:val="false"/>
                  <w:color w:val="0000FF"/>
                  <w:sz w:val="18"/>
                  <w:u w:val="single"/>
                </w:rPr>
                <w:t>Exhibits and Financial Statement Schedule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189">
              <w:r>
                <w:rPr>
                  <w:rStyle w:val="InternetLink"/>
                  <w:rFonts w:ascii="Times New Roman;serif" w:hAnsi="Times New Roman;serif"/>
                  <w:b w:val="false"/>
                  <w:strike w:val="false"/>
                  <w:dstrike w:val="false"/>
                  <w:color w:val="000000"/>
                  <w:sz w:val="20"/>
                  <w:u w:val="none"/>
                  <w:effect w:val="none"/>
                </w:rPr>
                <w:t>137</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16.</w:t>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217">
              <w:r>
                <w:rPr>
                  <w:rStyle w:val="InternetLink"/>
                  <w:rFonts w:ascii="Times New Roman;serif" w:hAnsi="Times New Roman;serif"/>
                  <w:b w:val="false"/>
                  <w:color w:val="0000FF"/>
                  <w:sz w:val="18"/>
                  <w:u w:val="single"/>
                </w:rPr>
                <w:t>Form 10-K Summary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217">
              <w:r>
                <w:rPr>
                  <w:rStyle w:val="InternetLink"/>
                  <w:rFonts w:ascii="Times New Roman;serif" w:hAnsi="Times New Roman;serif"/>
                  <w:b w:val="false"/>
                  <w:strike w:val="false"/>
                  <w:dstrike w:val="false"/>
                  <w:color w:val="000000"/>
                  <w:sz w:val="20"/>
                  <w:u w:val="none"/>
                  <w:effect w:val="none"/>
                </w:rPr>
                <w:t>142</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201">
              <w:r>
                <w:rPr>
                  <w:rStyle w:val="InternetLink"/>
                  <w:rFonts w:ascii="Times New Roman;serif" w:hAnsi="Times New Roman;serif"/>
                  <w:b w:val="false"/>
                  <w:color w:val="0000FF"/>
                  <w:sz w:val="18"/>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201">
              <w:r>
                <w:rPr>
                  <w:rStyle w:val="InternetLink"/>
                  <w:rFonts w:ascii="Times New Roman;serif" w:hAnsi="Times New Roman;serif"/>
                  <w:b w:val="false"/>
                  <w:strike w:val="false"/>
                  <w:dstrike w:val="false"/>
                  <w:color w:val="000000"/>
                  <w:sz w:val="20"/>
                  <w:u w:val="none"/>
                  <w:effect w:val="none"/>
                </w:rPr>
                <w:t>143</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95250"/>
                <wp:effectExtent l="0" t="0" r="0" b="0"/>
                <wp:wrapNone/>
                <wp:docPr id="2" name="Frame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(this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Forward-looking statements include all statements that are not historical facts. Words such as “anticipate,” “assume,” “believe” “contemplate,” “continue,” “could,” “estimate,” “expect,” “foreseeable,” “intend,” “may,” “plan,” “potentially,” “predict,” “project,” “seek,” “should,” “will,” or “would,” or similar words or phrases that convey uncertainty of future events or outcomes, are intended to identify forward-looking statements in this Annual Report. These forward-looking statements relate to matters such as our industry, business strategy, costs, and costs savings, impacts of accounting standards and guidance, goals and expectations, market position, future operations, margins, profitability, capital expenditures, liquidity and capital resources, legal matters, trends, and other financial and operating information. The forward-looking statements are based on management’s current expectations and are subject to various risks, uncertainty, and changes in circumstances, many of which are beyond our control, that could cause actual results to differ materially. Although we believe that the assumptions underlying the forward-looking statements are reasonable, we cannot guarantee future results, level of activity, performance, or achievements. Factors that may cause actual results to differ from expected results include those described in Part I, “Item 1A—Risk Factors” and Part II, “Item 7—Management’s Discussion and Analysis of Financial Condition and Results of Operations”. The forward-looking statements included in this Annual Report speak only as of the date of this Annual Report or as of the date they are made, as applicable. Except as otherwise required by law, we disclaim any intent or obligation to update any “forward-looking statement” made in this Annual Report to reflect changed assumptions, the occurrence of unanticipated events, or changes to future operating results over time.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95250"/>
                <wp:effectExtent l="0" t="0" r="0" b="0"/>
                <wp:wrapNone/>
                <wp:docPr id="3" name="Frame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INTRODUCTORY NOTE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Medline Inc. was incorporated as a Delaware corporation on November 6, 2024. Prior to the completion of its initial public offering (the “IPO”) on December 18, 2025, Medline Inc. undertook certain reorganization transactions (the “Reorganization”) such that Medline Inc. is now a holding company, and its sole material assets are its equity interests held directly or indirectly through wholly owned subsidiaries in Medline Holdings, LP (“Medline Holdings”). Following the IPO, Medline Holdings is the predecessor of Medline Inc. for financial reporting purposes. As the general partner of Medline Holdings, Medline Inc. now operates and controls all of the business and affairs of Medline Holdings and, through Medline Holdings and its subsidiaries, conducts its business. The Reorganization lacks economic substance and therefore is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financial statements of Medline Holdings. Medline Inc. will consolidate Medline Holdings on its consolidated financial statements and record a non-controlling interest related to the Units (as defined herein) held by the Continuing Unitholders (as defined herein) on its consolidated balance sheets and statements of comprehensive income.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Inc. had no significant business transactions or activities prior to the Reorganization, and, as a result, the historical financial information reflects that of Medline Holdings.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consolidated financial statements and accompanying notes included herein are prepared in accordance with United States generally accepted accounting principles (“GAAP”). The results of businesses acquired or disposed of are included in the consolidated financial statements from the date of the acquisition or up to the date of disposal, respectively. All adjustments, in the opinion of management, necessary to a fair statement of the results for the annual periods presented have been made.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monetary amounts, percentages, and other figures included in this Annual Report have been subject to rounding adjustments. Percentage amounts included in this Annual Report have been calculated, in some cases, not on the basis of such rounded figures, but on the basis of such amounts prior to rounding. For this reason, percentage amounts in this Annual Report may vary from those obtained by performing the same calculations using the figures, on the face of our consolidated financial statements included elsewhere in this Annual Report. Certain other amounts that appear in this Annual Report may not sum due to rounding.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2024, we changed the name of Medline Holdings from Mozart Holdings, LP to Medline Holdings, LP. We will not distinguish between the prior and current name of Medline Holdings and will refer to the current name of Medline Holdings throughout this Annual Report. References in this Annual Report to “Medline,” the “Company,” “we,” “us,” and “our” refer (1) prior to the consummation of the IPO, to Medline Holdings, LP and its consolidated subsidiaries and (2) after the IPO to Medline Inc. and its consolidated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CERTAIN DEFINITIONS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used in this Annual Report, unless otherwise noted or the context requires otherwise, the following terms have the following meanings: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Class A Units” refers to the interests in Medline Holdings called “Class A Units” that were outstanding prior to the Reclassification. In connection with the Reclassification, (i) Class A Units held by Common Unitholders were converted into Common Units and (ii) Class A Units held by Exchanging Class A Unitholders were directly or indirectly exchanged for shares of Class A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Class B Units” refers to the interests in Medline Holdings called “Class B Units” that were outstanding prior to the Reclassification, and does not include CUPI Units. In connection with the Reclassification, (i) Class B Units held by Incentive Unitholders were converted into Incentive Units and (ii) Class B Units held by Exchanging Class B Unitholders were directly or indirectly exchanged for shares of Class A common stock (in the case of vested Class B Units) and/or restricted shares of Class A common stock (in the case of unvested Class B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5250"/>
                <wp:effectExtent l="0" t="0" r="0" b="0"/>
                <wp:wrapNone/>
                <wp:docPr id="4" name="Frame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Common Units” refers to the new class of units of Medline Holdings created by the Reclassification and does not include Incentive Units.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Common Unitholders” refers to certain pre-IPO holders of Class A Units and/or CUPI Units who hold Common Units following the Reclassification.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Incentive Unitholders” refers to certain pre-IPO holders of Class B Units who will hold Incentive Units following the Reclassification, as described under “Organizational Structure.”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Continuing Unitholders” refers collectively to Common Unitholders and Incentive Unitholders.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CUPI Units” refers to the interests in Medline Holdings that were designated as “Catch-Up Class B Units” and outstanding prior to the Reclassification. In connection with the Reclassification, (i) CUPI Units held by Common Unitholders were converted into Common Units and (ii) CUPI Units held by Exchanging CUPI Unitholders were directly or indirectly exchanged for shares of Class A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Designating Stockholder” refers to each of our Principal Stockholders with whom we entered into separate director nomination agreements.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Exchanging Class A Unitholder” refers to pre-IPO holders of Class A Units whose Class A Units were directly or indirectly exchanged for shares of Class A common stock following the Reclassification.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Exchanging CUPI Unitholder” refers to pre-IPO holders of CUPI Units whose CUPI Units were directly or indirectly exchanged for shares of Class A common stock following the Reclassification.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Exchanging Unitholders” refers collectively to Exchanging Class A Unitholders, Exchanging CUPI Unitholders, and Exchanging Class B Unitholders.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Incentive Units” refers to the new class of units of Medline Holdings created by the reclassification of the Class B Units in the Reclassification.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Principal Stockholders” refers collectively to investment funds associated with Blackstone Inc., The Carlyle Group Inc. and Hellman &amp; Friedman LLC, and members of the Mills family.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Reclassification” refers to the reclassification of the partnership interests of Medline Holdings prior to the IPO.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Sponsors” refers collectively to Blackstone Inc., The Carlyle Group Inc., and Hellman &amp; Friedman LLC.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Units” refers collectively to Common Units and Incentive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The following is a summary of the principal factors that make an investment in our securities speculative or risky, all of which are more fully described below. This summary should be read together with the risk factors described under Part I, “Item 1A</w:t>
      </w:r>
      <w:r>
        <w:rPr>
          <w:color w:val="000000"/>
        </w:rPr>
        <w:t>—</w:t>
      </w:r>
      <w:r>
        <w:rPr>
          <w:rFonts w:ascii="Times New Roman;serif" w:hAnsi="Times New Roman;serif"/>
          <w:b w:val="false"/>
          <w:color w:val="000000"/>
          <w:sz w:val="20"/>
        </w:rPr>
        <w:t>Risk Factors” and should not be relied upon as an exhaustive summary of the material risks facing our business. In addition to the following summary, you should consider the information set forth below and the other information contained in this Annual Report before investing in our securities.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global operations are subject to inherent risks that could materially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derive fully the anticipated benefits from our existing or future acquisitions, joint ventures, investments, dispositions, or other strategic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Consolidation in the healthcare industry could have an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operate in a highly competitive industry, with accelerating pricing pressure and changes in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the U.S. and global healthcare environments may not be favorable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shipping costs or service issues with our third-party shippers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5250"/>
                <wp:effectExtent l="0" t="0" r="0" b="0"/>
                <wp:wrapNone/>
                <wp:docPr id="5" name="Frame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challenges or delays in our sourcing of new products and technologies could have an adverse impact on our long-term success.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concentration in and dependence on certain healthcare provider customers and GPOs.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and operations depend on the proper functioning of our critical facilities and distribution networks and could be negatively impacted by events outside our control.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establish and maintain Prime Vendor relationships may cause our revenue to decline.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experience increased pressure to maintain or decrease the price of our goods and services and we are unable to reduce our expenses, there may be a material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failure by or loss of a third-party manufacturer or supplier or other manufacturing or supply-related impacts could result in delays and increased costs, which may adversely affect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rely on the proper function, security, and availability of our information technology systems and data, as well as those of third parties throughout our global supply chain, to operate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extensive and complex laws and governmental regulations and any adverse regulatory action may materially adversely affect our business, results of operations, and financial condition both inside and outside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use or our third-party service providers’ or business partners’ use of AI, automated decision-making and machine learning technologies and the evolving regulatory framework in this area may subject us to risks or heightened costs that could adversely affect business, results of operation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comply with laws and regulations relating to reimbursement of healthcare goods and services may subject us to penalties and adversely impact our reputation, business, results of operations, financial condition,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Uncertain global and domestic macro-economic and political conditions could materially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credit agreement that governs the Senior Secured Credit Facilities and the indentures that govern the Senior Notes will each impose significant operating and financial restrictions on our subsidiaries, which may prevent us from capitalizing on business opportunities.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Designating Stockholders hold a significant percentage of our stock, and their interests may conflict with ours or yours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amended and restated certificate of incorporation does not limit the ability of our Sponsors, the Mills family, and certain other pre-IPO investors to compete with us, and they may have investments in businesses whose interests conflict with ours.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market price of shares of our Class A common stock may be volatile or may decline regardless of our operating performance, which could cause the value of your investment to decline.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5250"/>
                <wp:effectExtent l="0" t="0" r="0" b="0"/>
                <wp:wrapNone/>
                <wp:docPr id="6" name="Frame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and Industry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information contained in this Annual Report concerning our industry, competitive position, and the markets in which we operate is based on information from independent industry and research organizations, other third-party sources and management estimates. Although we believe that these third-party sources are reliable, we do not guarantee the accuracy or completeness of this information, and we have not independently verified this information. Management estimates are derived from information obtained from surveys, reports by market research firms, our customers, distributors, suppliers, trade and business organizations, and other contacts in the markets in which we operate and have not been verified by independent sources, and are based on assumptions made by us upon reviewing such data, and our experience in, and knowledge of, such industry and markets, which we believe to be reasonable. In addition, assumptions and estimates of our and our industry’s future performance are subject to a high degree of uncertainty and risk due to a variety of factors, including those described in Part I, “Item 1A—Risk Factors” and “Cautionary Note Regarding Forward-Looking Statements.” These and other factors could cause results to differ materially from those expressed in the estimates made by the independent parties and by us.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Statements regarding our market position (including statements that we are the largest company in a particular market), unless otherwise noted, are based on our 2025 net sales in the relevant market relative to the publicly reported net sales of our competitors in such market, including with respect to our statement of being the largest provider of med-surg products and supply chain solutions serving all points of care, as that statement is based on our 2025 net sales relative to the publicly reported net sales of med-surg products by companies that are both med-surg manufacturers and distributors.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own or have the right to use trademarks, trade names, and service marks used in connection with our business, including, but not limited to, Medline, Curad, Microtek, Hudson, and Proxima. All trademarks, trade names, and service marks referred to in this Annual Report are the property of their respective owners. We do not intend our use or display of other companies’ trade names, trademarks, or service marks to imply a relationship with, or endorsement or sponsorship of us by, these other companies. Solely for convenience, our trademarks, trade names, and service marks referred to in this Annual Report may appear without the ®, ™ or SM symbols, but such references are not intended to indicate, in any way, that we will not assert, to the fullest extent under applicable law, our rights or the right of the applicable licensor to these trademarks, trade names, and service marks.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5250"/>
                <wp:effectExtent l="0" t="0" r="0" b="0"/>
                <wp:wrapNone/>
                <wp:docPr id="7" name="Frame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 Business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Medline Inc. (together with its subsidiaries, “Medline”, “the Company”, “we”, “ours” and “us”) is the largest provider</w:t>
      </w:r>
      <w:r>
        <w:rPr>
          <w:color w:val="000000"/>
          <w:shd w:fill="FFFFFF" w:val="clear"/>
        </w:rPr>
        <w:t xml:space="preserve"> </w:t>
      </w:r>
      <w:r>
        <w:rPr>
          <w:rFonts w:ascii="Times New Roman;serif" w:hAnsi="Times New Roman;serif"/>
          <w:b w:val="false"/>
          <w:color w:val="000000"/>
          <w:sz w:val="20"/>
        </w:rPr>
        <w:t xml:space="preserve">of medical-surgical (“med-surg”) products and supply chain solutions serving all points of care, based on total net sales of med-surg products. Medline was founded in 1966 and today delivers mission-critical products used daily across the full range of care settings, from hospitals and surgery centers to physician offices and post-acute facilities. Our mission is to make healthcare run better by delivering improved clinical, financial, and operational outcomes.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two reportable segments, Medline Brand and Supply Chain Solutions, the combination of which addresses critical needs in the market through a comprehensive solution. They are both supported by our Prime Vendor model, differentiated distribution network, and robust commercial platform. Through our two segments, we offer approximately </w:t>
      </w:r>
      <w:r>
        <w:rPr>
          <w:rFonts w:ascii="Times New Roman;serif" w:hAnsi="Times New Roman;serif"/>
          <w:b w:val="false"/>
          <w:color w:val="000000"/>
          <w:sz w:val="20"/>
          <w:shd w:fill="FFFFFF" w:val="clear"/>
        </w:rPr>
        <w:t>335,000</w:t>
      </w:r>
      <w:r>
        <w:rPr>
          <w:color w:val="000000"/>
        </w:rPr>
        <w:t xml:space="preserve"> </w:t>
      </w:r>
      <w:r>
        <w:rPr>
          <w:rFonts w:ascii="Times New Roman;serif" w:hAnsi="Times New Roman;serif"/>
          <w:b w:val="false"/>
          <w:color w:val="000000"/>
          <w:sz w:val="20"/>
        </w:rPr>
        <w:t>med-surg products, including surgical and procedural kits, gloves and protective apparel, urological and incontinence care, wound care, and consumable lab and diagnostics products. We distribute these products through our expansive network o</w:t>
      </w:r>
      <w:r>
        <w:rPr>
          <w:rFonts w:ascii="Times New Roman;serif" w:hAnsi="Times New Roman;serif"/>
          <w:b w:val="false"/>
          <w:color w:val="000000"/>
          <w:sz w:val="20"/>
          <w:shd w:fill="FFFFFF" w:val="clear"/>
        </w:rPr>
        <w:t>f glob</w:t>
      </w:r>
      <w:r>
        <w:rPr>
          <w:rFonts w:ascii="Times New Roman;serif" w:hAnsi="Times New Roman;serif"/>
          <w:b w:val="false"/>
          <w:color w:val="000000"/>
          <w:sz w:val="20"/>
        </w:rPr>
        <w:t>al distribution facilities and our owne</w:t>
      </w:r>
      <w:r>
        <w:rPr>
          <w:rFonts w:ascii="Times New Roman;serif" w:hAnsi="Times New Roman;serif"/>
          <w:b w:val="false"/>
          <w:color w:val="000000"/>
          <w:sz w:val="20"/>
          <w:shd w:fill="FFFFFF" w:val="clear"/>
        </w:rPr>
        <w:t>d fleet of MedTrans trucks.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Medline Brand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December 31, 2025, we offer our customers approxim</w:t>
      </w:r>
      <w:r>
        <w:rPr>
          <w:rFonts w:ascii="Times New Roman;serif" w:hAnsi="Times New Roman;serif"/>
          <w:b w:val="false"/>
          <w:color w:val="000000"/>
          <w:sz w:val="20"/>
          <w:shd w:fill="FFFFFF" w:val="clear"/>
        </w:rPr>
        <w:t xml:space="preserve">ately 190,000 med-surg </w:t>
      </w:r>
      <w:r>
        <w:rPr>
          <w:rFonts w:ascii="Times New Roman;serif" w:hAnsi="Times New Roman;serif"/>
          <w:b w:val="false"/>
          <w:color w:val="000000"/>
          <w:sz w:val="20"/>
        </w:rPr>
        <w:t xml:space="preserve">products through our Medline Brand segment and hold leading positions across many key product families for our Medline Brand products. Our Medline Brand products are organized into three product categories: Front Line Care, Surgical Solutions, and Laboratory and Diagnostics.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Front Line Care </w:t>
      </w:r>
      <w:r>
        <w:rPr>
          <w:rFonts w:ascii="Times New Roman;serif" w:hAnsi="Times New Roman;serif"/>
          <w:b w:val="false"/>
          <w:color w:val="000000"/>
          <w:sz w:val="20"/>
        </w:rPr>
        <w:t>offers mission-critical med-surg products for patient-facing needs, including wound care products, exam gloves, skin care and incontinence products, environment cleaning supplies, textiles, hand sanitizer, durable medical equipment, patient plastics, and decolonization and infection control products.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Surgical Solutions</w:t>
      </w:r>
      <w:r>
        <w:rPr>
          <w:color w:val="000000"/>
        </w:rPr>
        <w:t xml:space="preserve"> </w:t>
      </w:r>
      <w:r>
        <w:rPr>
          <w:rFonts w:ascii="Times New Roman;serif" w:hAnsi="Times New Roman;serif"/>
          <w:b w:val="false"/>
          <w:color w:val="000000"/>
          <w:sz w:val="20"/>
        </w:rPr>
        <w:t xml:space="preserve">offers operating room and perioperative environment product solutions, including surgical procedure trays, drapes and gowns, personal protective equipment, sterile wraps, surgical instruments, surgeon’s gloves, procedure kits, and orthopedic implants.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Laboratory and Diagnostics</w:t>
      </w:r>
      <w:r>
        <w:rPr>
          <w:color w:val="000000"/>
        </w:rPr>
        <w:t xml:space="preserve"> </w:t>
      </w:r>
      <w:r>
        <w:rPr>
          <w:rFonts w:ascii="Times New Roman;serif" w:hAnsi="Times New Roman;serif"/>
          <w:b w:val="false"/>
          <w:color w:val="000000"/>
          <w:sz w:val="20"/>
        </w:rPr>
        <w:t>offers a full range of laboratory and diagnostic product solutions, including point of care testing, analyzers and instrumentation, lab and diagnostic consumables, diagnostic instruments, vital signs monitors, and anatomic pathology and phlebotomy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approach incorporates customer feedback and ongoing innovation. We are also committed to delivering products of the highest standard, which is reflected by our robust quality team embedded across our manufacturing and sourcing locations. The expertise of our research and development team and quality team helps ensure products bearing the Medline brand meet both our rigorous quality standards and our customers’ expectations.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Supply Chain Solutions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As of December 31, 2025, we offer approximately 145,000 med-surg products from over 1,300 third-party suppliers, including</w:t>
      </w:r>
      <w:r>
        <w:rPr>
          <w:color w:val="000000"/>
        </w:rPr>
        <w:t xml:space="preserve"> </w:t>
      </w:r>
      <w:r>
        <w:rPr>
          <w:rFonts w:ascii="Times New Roman;serif" w:hAnsi="Times New Roman;serif"/>
          <w:b w:val="false"/>
          <w:color w:val="000000"/>
          <w:sz w:val="20"/>
        </w:rPr>
        <w:t xml:space="preserve">nearly all leading national brands, through our Supply Chain Solutions segment. We also provide our customers with supply chain optimization services such as consulting engagements, outsourced warehouse and technology management, put-away-ready packaging, third-party logistics, inventory rationalization, and route planning. </w:t>
      </w:r>
      <w:r>
        <w:rPr>
          <w:rFonts w:ascii="Times New Roman;serif" w:hAnsi="Times New Roman;serif"/>
          <w:b w:val="false"/>
          <w:color w:val="231F20"/>
          <w:sz w:val="20"/>
        </w:rPr>
        <w:t xml:space="preserve">Our third-party suppliers are primarily responsible for costs related to import and inbound freight, whereas we are primarily responsible for costs related to outbound freight from our distribution centers. </w:t>
      </w:r>
      <w:r>
        <w:rPr>
          <w:rFonts w:ascii="Times New Roman;serif" w:hAnsi="Times New Roman;serif"/>
          <w:b w:val="false"/>
          <w:color w:val="000000"/>
          <w:sz w:val="20"/>
        </w:rPr>
        <w:t>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5250"/>
                <wp:effectExtent l="0" t="0" r="0" b="0"/>
                <wp:wrapNone/>
                <wp:docPr id="8" name="Frame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Our Prime Vendor Model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Prime Vendor relationship is a relationship for which there is a multi-year distribution agreement between Medline and a customer, whereby the customer agrees to use Medline for the vast majority of its med-surg product needs.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our Prime Vendor relationships, we enter into long-term agreements, typically structured with five-year terms, to act as the primary consolidated logistics partner for these customers’ med-surg product needs. These agreements have been and are expected to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The opportunity is even greater in certain non-acute settings, where we sell a more focused product portfolio. Our Prime Vendor model allows us to provide cost savings to Prime Vendor customers, which, over time, supports incremental purchasing of our Medline Brand products and greater scale across our operations. As our scale grows, we are able to realize further efficiencies by offering superior or similar quality to third-party products at a more cost-effective price. We believe that Medline Brand conversion is mutually beneficial for both our customers and us-the value we provide customers at the outset of a Prime Vendor agreement meaningfully increases over time, as they accrue savings by purchasing our lower cost Medline Brand products, while our profitability grows given the enhanced margin profile of Medline Brand products. This compelling value proposition and supply chain relationship with our customers supports our </w:t>
      </w:r>
      <w:r>
        <w:rPr>
          <w:rFonts w:ascii="Times New Roman;serif" w:hAnsi="Times New Roman;serif"/>
          <w:b w:val="false"/>
          <w:color w:val="000000"/>
          <w:sz w:val="20"/>
          <w:shd w:fill="FFFFFF" w:val="clear"/>
        </w:rPr>
        <w:t xml:space="preserve">greater than </w:t>
      </w:r>
      <w:r>
        <w:rPr>
          <w:rFonts w:ascii="Times New Roman;serif" w:hAnsi="Times New Roman;serif"/>
          <w:b w:val="false"/>
          <w:color w:val="000000"/>
          <w:sz w:val="20"/>
        </w:rPr>
        <w:t>98%</w:t>
      </w:r>
      <w:r>
        <w:rPr>
          <w:color w:val="000000"/>
          <w:shd w:fill="FFFFFF" w:val="clear"/>
        </w:rPr>
        <w:t xml:space="preserve"> </w:t>
      </w:r>
      <w:r>
        <w:rPr>
          <w:rFonts w:ascii="Times New Roman;serif" w:hAnsi="Times New Roman;serif"/>
          <w:b w:val="false"/>
          <w:color w:val="000000"/>
          <w:sz w:val="20"/>
          <w:shd w:fill="FFFFFF" w:val="clear"/>
        </w:rPr>
        <w:t>av</w:t>
      </w:r>
      <w:r>
        <w:rPr>
          <w:rFonts w:ascii="Times New Roman;serif" w:hAnsi="Times New Roman;serif"/>
          <w:b w:val="false"/>
          <w:color w:val="000000"/>
          <w:sz w:val="20"/>
        </w:rPr>
        <w:t xml:space="preserve">erage Prime Vendor retention rate over the past five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portion of Supply Chain Solutions products sold to existing Prime Vendor customers has like-for-like Medline Brand product equivalents, representing a potential gross profit uplift consistent with our historical margin differentials if such products were converted for Medline Brand products.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For additional information on potential risks relating to this conversion opportunity, please see Part I, “Item 1A—Risk Factors—Risks Related to Our Business, Industry and Operations—Our failure to establish and maintain Prime Vendor relationships may cause our revenue to decline.”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Our Distribution Network</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a differentiated distribution network of 70 global distribution centers, warehouses, cross-docks, and transship facilities, 45 of which are in the United States, strategically located to provide next-day delivery to 95% of our U.S. customer base. We utilize artificial intelligence (“AI”) and robotics technology in </w:t>
      </w:r>
      <w:r>
        <w:rPr>
          <w:rFonts w:ascii="Times New Roman;serif" w:hAnsi="Times New Roman;serif"/>
          <w:b w:val="false"/>
          <w:color w:val="000000"/>
          <w:sz w:val="20"/>
          <w:shd w:fill="FFFFFF" w:val="clear"/>
        </w:rPr>
        <w:t xml:space="preserve">over 26 million square </w:t>
      </w:r>
      <w:r>
        <w:rPr>
          <w:rFonts w:ascii="Times New Roman;serif" w:hAnsi="Times New Roman;serif"/>
          <w:b w:val="false"/>
          <w:color w:val="000000"/>
          <w:sz w:val="20"/>
        </w:rPr>
        <w:t xml:space="preserve">feet of warehouse space in the United States to improve efficiency and capacity to optimize distribution logistics and </w:t>
      </w:r>
      <w:r>
        <w:rPr>
          <w:rFonts w:ascii="Times New Roman;serif" w:hAnsi="Times New Roman;serif"/>
          <w:b w:val="false"/>
          <w:color w:val="000000"/>
          <w:sz w:val="20"/>
          <w:shd w:fill="FFFFFF" w:val="clear"/>
        </w:rPr>
        <w:t>maximize utilization. The products we distribute are packaged to meet each customer’s individual needs and to be “put-away-ready,” which streamlines the customer’s unloading and shelving process. We also operate our own fleet of more than 2,100 MedTrans trucks that deliver our products across care settings within the United States</w:t>
      </w:r>
      <w:r>
        <w:rPr>
          <w:rFonts w:ascii="Times New Roman;serif" w:hAnsi="Times New Roman;serif"/>
          <w:b w:val="false"/>
          <w:color w:val="000000"/>
          <w:sz w:val="20"/>
        </w:rPr>
        <w:t xml:space="preserve">. As of </w:t>
      </w:r>
      <w:r>
        <w:rPr>
          <w:rFonts w:ascii="Times New Roman;serif" w:hAnsi="Times New Roman;serif"/>
          <w:b w:val="false"/>
          <w:color w:val="181717"/>
          <w:sz w:val="20"/>
        </w:rPr>
        <w:t>December 31, 2025</w:t>
      </w:r>
      <w:r>
        <w:rPr>
          <w:rFonts w:ascii="Times New Roman;serif" w:hAnsi="Times New Roman;serif"/>
          <w:b w:val="false"/>
          <w:color w:val="000000"/>
          <w:sz w:val="20"/>
        </w:rPr>
        <w:t xml:space="preserve">, we had approximately 25% in incremental capacity across our platform to support our long-term growth.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Our Commercial Platform</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deep connectivity to our customers is driven by the strength of our dedicated and tenured commercial team. We have a U.S. commercial team of approximately 4,000 people across all points of care, which includes account managers, product specialists, specialized clinical resources, customer service representatives, supply chain specialists, Prime Vendor analysts, and a robust leadership team dedicated to driving efficiencies for our customers through their teams. We have created an entrepreneurial environment that empowers our salesforce to work with our product managers to create innovative products that meet market demand. We have a team devoted to each channel in the United States and each region or country internationally, which allows our salesforce teams to develop market-specific knowledge.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5250"/>
                <wp:effectExtent l="0" t="0" r="0" b="0"/>
                <wp:wrapNone/>
                <wp:docPr id="9" name="Frame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have a track record of successfully bringing new products to market, with more</w:t>
      </w:r>
      <w:r>
        <w:rPr>
          <w:color w:val="000000"/>
          <w:shd w:fill="FFFFFF" w:val="clear"/>
        </w:rPr>
        <w:t xml:space="preserve"> </w:t>
      </w:r>
      <w:r>
        <w:rPr>
          <w:rFonts w:ascii="Times New Roman;serif" w:hAnsi="Times New Roman;serif"/>
          <w:b w:val="false"/>
          <w:color w:val="000000"/>
          <w:sz w:val="20"/>
          <w:shd w:fill="FFFFFF" w:val="clear"/>
        </w:rPr>
        <w:t>than 2,300 granted paten</w:t>
      </w:r>
      <w:r>
        <w:rPr>
          <w:rFonts w:ascii="Times New Roman;serif" w:hAnsi="Times New Roman;serif"/>
          <w:b w:val="false"/>
          <w:color w:val="000000"/>
          <w:sz w:val="20"/>
        </w:rPr>
        <w:t>ts and more tha</w:t>
      </w:r>
      <w:r>
        <w:rPr>
          <w:rFonts w:ascii="Times New Roman;serif" w:hAnsi="Times New Roman;serif"/>
          <w:b w:val="false"/>
          <w:color w:val="000000"/>
          <w:sz w:val="20"/>
          <w:shd w:fill="FFFFFF" w:val="clear"/>
        </w:rPr>
        <w:t>n 450 U.S. Food and Drug Administration (“F</w:t>
      </w:r>
      <w:r>
        <w:rPr>
          <w:rFonts w:ascii="Times New Roman;serif" w:hAnsi="Times New Roman;serif"/>
          <w:b w:val="false"/>
          <w:color w:val="000000"/>
          <w:sz w:val="20"/>
        </w:rPr>
        <w:t>DA”) 510(k) clearances. Over the last three years, we have successfully launched more than 250 new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Competition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value proposition is derived from our integrated business model, the breadth of our Medline Brand portfolio, our differentiated supply chain, and the overall quality and cost of our products. As a result of our integrated business model, our competitors include both other leading med-surg product manufacturers and distributors.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Similar to us, other leading med-surg product manufacturers produce a wide range of med-surg supplies. However, unlike us, many of these competitors are reliant upon third-party distributors to deliver their products to customers. By nature of being a distributor, Medline has direct access to and manages the end customer relationships. This enables us to offer a complete solution as a manufacturer and a distributor, offering our customers what we believe to be best-in-class supply chain logistics, and driving value through our brand.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other distributors of med-surg products similarly connect the fragmented supplier and provider bases and aggregate inventory from suppliers to deliver products to customers, such as McKesson, Cardinal Health, Owens &amp; Minor, and Henry Schein. These distribution companies compete with us for Prime Vendor agreements. However, we believe that many of these competitors do not benefit from the scale and scope of our vertical integration or commercial excellence, and thus are not able to provide the same magnitude of cost savings, value, and holistic solutions that we deliver for our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Production and Raw Materials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w:t>
      </w:r>
      <w:r>
        <w:rPr>
          <w:color w:val="000000"/>
          <w:shd w:fill="FFFFFF" w:val="clear"/>
        </w:rPr>
        <w:t xml:space="preserve"> </w:t>
      </w:r>
      <w:r>
        <w:rPr>
          <w:rFonts w:ascii="Times New Roman;serif" w:hAnsi="Times New Roman;serif"/>
          <w:b w:val="false"/>
          <w:color w:val="000000"/>
          <w:sz w:val="20"/>
          <w:shd w:fill="FFFFFF" w:val="clear"/>
        </w:rPr>
        <w:t xml:space="preserve">manufacture approximately one-third of our Medline Brand products, which are primarily Class I and II medical devices, through our 30 manufacturing facilities, of which </w:t>
      </w:r>
      <w:r>
        <w:rPr>
          <w:rFonts w:ascii="Times New Roman;serif" w:hAnsi="Times New Roman;serif"/>
          <w:b w:val="false"/>
          <w:color w:val="000000"/>
          <w:sz w:val="20"/>
        </w:rPr>
        <w:t>24</w:t>
      </w:r>
      <w:r>
        <w:rPr>
          <w:color w:val="000000"/>
          <w:shd w:fill="FFFFFF" w:val="clear"/>
        </w:rPr>
        <w:t xml:space="preserve"> </w:t>
      </w:r>
      <w:r>
        <w:rPr>
          <w:rFonts w:ascii="Times New Roman;serif" w:hAnsi="Times New Roman;serif"/>
          <w:b w:val="false"/>
          <w:color w:val="000000"/>
          <w:sz w:val="20"/>
          <w:shd w:fill="FFFFFF" w:val="clear"/>
        </w:rPr>
        <w:t>are in North America. We purchase many of the components and raw materials used in manufacturing our products from numerous suppliers. We focus our manufacturing capabilities on products where we can leverage technology and automation to drive higher quality and lower costs to better serve our customers. For the vast majority of the other two-thirds of our Medline Brand products, we work closely with our network of more than 600 global partners across approximately 40 countries, man</w:t>
      </w:r>
      <w:r>
        <w:rPr>
          <w:rFonts w:ascii="Times New Roman;serif" w:hAnsi="Times New Roman;serif"/>
          <w:b w:val="false"/>
          <w:color w:val="000000"/>
          <w:sz w:val="20"/>
        </w:rPr>
        <w:t>y of whom have decades-long exclusive relationships with us. The breadth of our global sourcing partnerships provides diversification and strengthens our resiliency, with no single sourcing partner accounting for more than</w:t>
      </w:r>
      <w:r>
        <w:rPr>
          <w:color w:val="000000"/>
          <w:shd w:fill="FFFFFF" w:val="clear"/>
        </w:rPr>
        <w:t xml:space="preserve"> </w:t>
      </w:r>
      <w:r>
        <w:rPr>
          <w:rFonts w:ascii="Times New Roman;serif" w:hAnsi="Times New Roman;serif"/>
          <w:b w:val="false"/>
          <w:color w:val="000000"/>
          <w:sz w:val="20"/>
          <w:shd w:fill="FFFFFF" w:val="clear"/>
        </w:rPr>
        <w:t>5% of total</w:t>
      </w:r>
      <w:r>
        <w:rPr>
          <w:color w:val="000000"/>
        </w:rPr>
        <w:t xml:space="preserve"> </w:t>
      </w:r>
      <w:r>
        <w:rPr>
          <w:rFonts w:ascii="Times New Roman;serif" w:hAnsi="Times New Roman;serif"/>
          <w:b w:val="false"/>
          <w:color w:val="000000"/>
          <w:sz w:val="20"/>
        </w:rPr>
        <w:t xml:space="preserve">spend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plans and measures in place to help ensure continuity of supply while maintaining high quality and reliability. Generally, we have been able to obtain adequate supplies of such raw materials and components. However, due to the FDA’s manufacturing requirements and those of other regulatory authorities, we may not be able to quickly establish additional or replacement sources for certain components, materials or processes if we experience a sudden or unexpected reduction or interruption in supply or services and are unable to develop alternative sources.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Human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Medline, our relentless focus on the customer drives our human capital strategy, which revolves around attracting, developing, and retaining employees to provide the best products and services for our customers. We have developed a strong foundation that drives our recruitment, retention and development efforts. We are committed to supporting the personal and professional development of our employees, as well as providing competitive benefits and a safe, inclusive workplace.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5250"/>
                <wp:effectExtent l="0" t="0" r="0" b="0"/>
                <wp:wrapNone/>
                <wp:docPr id="10" name="Frame1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employed over 45,000 employees worldwide, with over 26,000 located in the United States. Our largest non-U.S. employee populations are in Mexico, Dominican Republic, India, Canada, Slovakia, France, China, Japan, Germany, and Australia. None of our employees in the United States are unionized, though some of our employees in Mexico belong to unions. In Germany and the Netherlands, employees are represented through Works Councils; in France and Spain, employees are represented through both Works Councils and industry-wide collective bargaining agreements; and in Belgium and Italy, employees are also represented through industry-wide collective bargaining agreements. In Australia, certain employees are represented by an enterprise bargaining agreement; in Japan, employees are represented through a Work Council; and in Vietnam, employees are represented through a collective bargaining agreement. We believe that our positive employee relations and total employee experience drive the continual growth of our workforce.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Culture and Values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culture is grounded in a customer-focused, collaborative, and performance-driven approach, guided by core values emphasizing relentless customer focus, agility and flexibility, problem-solving, drive to succeed, purposeful candor, and the importance of relationships. Employees are encouraged to exercise judgment, work transparently with customers, and contribute meaningfully to our mission to make healthcare run better.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Talent Attraction and 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seek to attract employees whose skills, experience, and motivation align with our operational and technical needs. Through continual improvement of internal processes, an awareness of market and candidate driven trends, and in partnership with vendors and other outside organizations, our talent acquisition programs focus on efficient hiring processes, market awareness, and building a diverse pipeline of candidates. We support development through consistent performance management processes and early career opportunities to take on additional responsibilities to demonstrate their competencies and drive to succeed and on-the-job responsibility augmented by formal training and development to refine technical and leadership skills. New sales representatives participate in comprehensive training programs, and product managers have targeted development pathways through all stages of their careers, from mandatory onboarding offerings to advanced classes that provide the necessary skills with increasing levels of responsibility, to support progression over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Employee Engagement and Inclusion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employees’ ability to communicate and cooperate effectively across functional and departmental teams positively impacts our performance. We engage in various listening strategies and foster engagement through survey feedback mechanisms, anonymous employee feedback platform, focus groups, increased attention to onboarding and offboarding feedback, pulse surveys on remote work needs, and other listening strategies. Insights from these efforts inform workplace improvements. We also support an inclusive environment through Employee Resource Groups and leadership training initiatives designed to reduce bias in talent decisions and strengthen representation across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Health, Safety, and Well-Being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committed to maintaining a safe workplace and supporting the physical, emotional, and financial well-being of our employees. We provide competitive health and benefits programs, access to assistance resources where available, and opportunities for community involvement through charitable giving, including financial giving and in-kind giving such as product donations.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Intellectual Property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rely upon patents, trademarks, copyrights, trade secrets and other intellectual propert</w:t>
      </w:r>
      <w:r>
        <w:rPr>
          <w:rFonts w:ascii="Times New Roman;serif" w:hAnsi="Times New Roman;serif"/>
          <w:b w:val="false"/>
          <w:color w:val="000000"/>
          <w:sz w:val="20"/>
          <w:shd w:fill="FFFFFF" w:val="clear"/>
        </w:rPr>
        <w:t xml:space="preserve">y rights to maintain and improve our competitive position. We have a large portfolio of intellectual property, including more than 2,300 granted patents as well as trademark registrations protecting our notable brands, including Medline, Curad, Microtek, Hudson, and Proxima.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consider the trademarks and know-how that we own to be material to our business. However, other than the Medline mark, we do not consider our business to be materially dependent upon any individual trademark registration or trade secret. In the aggregate, we consider our more than 2,300 granted patents to be material to our business. However, no single patent or group of related patents is material to our business as a whole or any segment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5250"/>
                <wp:effectExtent l="0" t="0" r="0" b="0"/>
                <wp:wrapNone/>
                <wp:docPr id="11" name="Frame1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we have taken all necessary steps to protect our intellectual property rights, but no assurance can be given that we will be able to successfully enforce or protect our rights in the event that they are infringed upon or challenged by a third party. See Part I, “Item 1A—Risk Factors—Risks Related to Regulation and Legal Proceedings—Any failure to obtain, maintain, protect and enforce our intellectual property rights, or the failure of the strength or scope of our intellectual property rights, could harm our business, financial condition, and results of operations” and “—Risks Related to Regulation and Legal Proceedings—We may become subject to litigation brought by third parties claiming infringement, misappropriation, or other violation by us of their intellectual property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Government Regulation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and products are subject to extensive regulation by numerous governmental regulatory authorities, including U.S. and other international regulatory authorities, and other government agencies inside and outside the United States. To varying degrees, each of these agencies requires us to comply with laws and regulations governing the development, design, materials, testing, safety, efficacy, quality, purity, manufacturing, methods, controls, testing, screening, recordkeeping, reporting, processing, storage, registration, authorization, licensing, permitting, labeling, advertising, marketing, distribution, offer for sale, sale, use, expiration, pricing, reimbursement, import, export, clinical trials, post-marketing surveillance of our products, the registration of our facilities, and the claims that we make about our products. The United States and other countries where we sell healthcare and other regulated products, including drugs, human cell and tissue products, dietary supplements, cosmetics, certain foods, and consumer products subject such products to their own clearance, authorization, approval, registration, listing, labeling, manufacturing, recordkeeping, reporting, and other regulatory requirements regarding the performance, safety, and quality of such products. We are also subject to healthcare and other regulations and enforcement by the federal government and the states and foreign governments and authorities in the locations in which we conduct our business. The U.S. governmental and regulatory authorities that enforce such laws and rules, and that issue guidance on compliance with such laws and rules include, without limitation, the FDA, the Centers for Medicare &amp; Medicaid Services (“CMS”), other divisions of the U.S. Department of Health and Human Services (“HHS”), the HHS Office of Inspector General, U.S. Environmental Protection Agency (“EPA”), the Federal Trade Commission (“the FTC”), Consumer Product Safety Commission (“CPSC”), the U.S. Department of Justice (“DOJ”) and individual U.S. Attorney offices within the DOJ, as well as state and local governments. Our business is also affected by patient and data privacy and security laws, government payer cost containment initiatives, government reimbursement laws and regulations, environmental, health, and safety laws and regulations, as well as laws and regulations with respect to the sale, transportation, storage, handling, and disposal of hazardous or potentially hazardous substances, and safe working conditions. Our business also maintains contracts with governmental agencies and such contracts are subject to various government procurement laws and regulations, required contract provisions, and other requirements relating to contract formation, administration and performance. Failure to comply with applicable laws and regulations or with contractual or other requirements may result in monetary damages and criminal or civil penalties as well as termination of our government contracts or our suspension or debarment from government contract work.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regulations to which we are subject are complex and have tended to become more stringent over time. If our business expands in certain ways, including through the offering of new products and services or entering into new geographic areas, we may be subject to new and additional regulatory requirements. The foreign, federal, state, and local regulatory authorities have broad inspection and enforcement powers, including the ability to suspend or limit the distribution of products, suspend, revoke, or terminate our product and facility licenses, permits, and authorizations, request the cessation of distribution and shipments of certain products due to regulatory, safety, or other issues, seize or order the recall of our products, issue safety, quality, or other communications to the public or healthcare providers, enforce laws related to marketing, including promotion of off-label uses of products, and impose injunctions and significant criminal, civil, and administrative sanctions for violations of laws and regulations. Any adverse regulatory or other action, including any adverse press releases or other communications from regulators, may impact our business practices and operations, including by limiting our ability to effectively market, ship, and sell our products, affecting the production and distribution of products by our manufacturing facilities, subjecting us to significant liability, and limiting our ability to obtain future authorizations. Although we are subject to international government regulations in the international end markets where we operate and/or provide our products, these regulations do not have a material impact on our products as no international market represents more than 3% of our net sales.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95250"/>
                <wp:effectExtent l="0" t="0" r="0" b="0"/>
                <wp:wrapNone/>
                <wp:docPr id="12" name="Frame1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Government Regulation of Medical Devices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medical devices are subject to regulation by numerous government agencies, including the FDA and comparable state and foreign agencies. Regulations of the FDA and other regulatory agencies in and outside the United States impose extensive compliance and monitoring obligations on portions of our business. The FDA and other U.S. and foreign governmental agencies regulate, among other things, with respect to medical devices: design, development, and manufacturing; testing, registration, listing, labeling, content, and language of instructions for use and storage; clinical trials; product safety; marketing, sales, and distribution; licensing and permit requirements; premarket clearance, approval and authorization;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 The regulations to which we are subject are complex and have tended to become more stringent over time. If our business expands in certain ways, we may be subject to new and additional regulatory requirements. The FDA and state regulatory authorities have broad inspection and enforcement powers, including the ability to suspend or limit the distribution of products by our distribution centers; seize or order the recall of products; terminate, suspend, or revoke licenses and permits; and impose significant criminal, civil, and administrative sanctions for violations of these laws and regulations. Foreign regulations subject us to similar foreign enforcement powers. In addition, the FDA and other governmental and regulatory authorities, both in and outside the United States (including the FTC, the HHS Office of the Inspector General, the DOJ, and various state Attorneys General), monitor the promotion and advertising of our products. Any adverse regulatory or other action, including any adverse press releases or other communications from regulators, depending on its magnitude, may limit our ability to effectively market, ship, and sell our products, limit our ability to obtain future premarket authorizations, or result in a substantial modification to our business practices and operations.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FDA Premarket Clearance and Approval Requirements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medical device we wish to distribute commercially in the United States requires marketing authorization from the FDA prior to distribution, unless the device is exempt from premarket notification requirements. The type of marketing authorization necessary is generally linked to the classification of the device. The FDA classifies medical devices into one of three classes-Class I, II, or III-based on the degree of risk associated with a device and the level of regulatory control deemed necessary to ensure its safety and effectiveness. Class I devices that pose the least risk are subject only to General Controls applicable to all devices, such as requirements for device labeling, premarket notification, and adherence to current good manufacturing practices for devices as set forth in the Quality System Regulation (“QSR”). Class II devices that pose a moderate risk are subject to General Controls and may also be subject to Special Controls, such as performance standards, product-specific guidance documents, special labeling requirements, patient registries, or post-market surveillance. Class III devices are those for which insufficient information exists to assure safety and effectiveness solely through General and Special Controls, including devices that support or sustain human life, are of substantial importance in preventing impairment of human health, or which present a potential unreasonable risk of illness or injury.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Most Class I devices and some Class II devices are exempted by regulation from the 510(k) clearance requirement and can be marketed without prior authorization from the FDA. Class I and II devices that are not exempted are eligible for marketing through the 510(k) clearance pathway. By contrast, devices placed in Class III generally require premarket approval (“PMA”) or de novo clearance prior to commercial marketing. The PMA approval process is more stringent, time-consuming and expensive than the 510(k) clearance process; however, the 510(k) clearance process has also become increasingly stringent and expensive. None of our products are currently approved under a PMA, and we have no plans for any indication or system improvement or extension that we believe would require a PMA. If, in the future, we were to file a PMA, we may be subject to additional regulatory requirements.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95250"/>
                <wp:effectExtent l="0" t="0" r="0" b="0"/>
                <wp:wrapNone/>
                <wp:docPr id="13" name="Frame1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510(k) Clearance Process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obtain 510(k) clearance, we must submit a premarket notification to the FDA demonstrating the proposed device to be substantially equivalent to a predicate device. A device is substantially equivalent if, with respect to the predicate device, it has the same intended use and it has either the same technological characteristics, or it has different technological characteristics, but the information provided in the 510(k) submission demonstrates that the device does not raise new questions of safety or effectiveness. The standard review process for 510(k)s is between six to nine months, dependent upon the type of 510(k) filing submitted. Although many 510(k) premarket notifications are cleared without clinical data, in some cases, the FDA may require clinical data to support substantial equivalence. In reviewing a premarket notification, the FDA may request additional information, including clinical data, which may significantly prolong the review process and clearance is never assured. Clinical trials generally require the submission of an investigational device exemption (“IDE”) to the FDA for a specified number of patients and study sites, unless the product is deemed a non-significant risk device eligible for more abbreviated IDE requirements. Clinical trials are subject to numerous requirements and institutional review board approval, oversight, and monitoring. Even if a trial is conducted, the results of clinical testing may not adequately demonstrate the safety and effectiveness of the device or be sufficient to obtain FDA clearance or approval for marketing.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a device receives 510(k) clearance, any subsequent modification of the device that could significantly affect its safety or effectiveness, or that would constitute a major change in its intended use, requires a new 510(k) clearance or could require submission and approval of a de novo 510(k) or a PMA application in cases where new indications are sought for which there is no predicate. Non-significant changes are handled via internal documentation by the Company. Each manufacturer must judge the significance of modifications based on FDA 510(k) regulatory requirements and guidance documents. The FDA may review any such decision and may disagree with a manufacturer’s determination. If the FDA disagrees with a manufacturer’s determination, the FDA may require the manufacturer to cease marketing and distribution and/or recall the modified device until 510(k) clearance or PMA approval is obtained. In the future, we may make modifications to our products after they have received FDA clearance and, in appropriate circumstances, determine that new clearance is unnecessary. However, the FDA may disagree with our determination, and, if the FDA requires us to seek 510(k) clearance or submit new PMA applications for any modifications to a previously cleared product, we may be required to cease marketing or distributing or recall the modified device until we obtain the required clearance or approval. We may also market or acquire products that are marketed without a 510(k) clearance, appropriate labeling, or that otherwise are marketed in violation of FDA requirements, since medical devices can be marketed only for the indications for which they are cleared or approved. Under these circumstances, we may also be subject to warning letters, significant regulatory fines, or other penalties, and we may no longer be able to market particular products for which a 510(k) clearance is required.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Post-Marketing Requirements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Numerous FDA regulatory requirements apply to devices we manufacture and distribute, including: compliance with the QSR, which require manufacturers and their suppliers to follow the applicable design, testing, processes, control, documentation, labeling, and other quality assurance procedures during the manufacturing process; establishment registration, which requires establishments involved in the production and distribution of medical devices intended for commercial distribution in the United States to register with the FDA; medical device listing, which requires manufacturers to list the devices they have in commercial distribution with the FDA; labeling regulations, which prohibit “misbranded” devices from entering the market, as well as prohibit the promotion of products for unapproved or off-label uses and impose other restrictions on labeling; post-market surveillance, including medical device reporting requirements which requires manufacturers to report to the FDA if their device may have caused or contributed to a death or serious injury, or malfunctioned in a way that would likely cause or contribute to a death or serious injury if it were to recur; and corrections and removal reporting regulations, which require that manufacturers report to the FDA field corrections and product recalls or removals if undertaken to reduce a risk to health posed by the device or to remedy a violation of the Federal Food, Drug, and Cosmetic Act that may present a risk to health. The FDA and other governmental and regulatory authorities actively enforce the laws and regulations prohibiting the promotion of off-label uses, and a company that is found to have improperly promoted off-label uses may be subject to significant liability.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95250"/>
                <wp:effectExtent l="0" t="0" r="0" b="0"/>
                <wp:wrapNone/>
                <wp:docPr id="14" name="Frame1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FDA enforces these requirements by inspection and market surveillance. Domestic facility records and manufacturing processes are subject to periodic unscheduled inspections by the FDA. The FDA may also inspect foreign facilities that export products to the United States. Failure to comply with applicable regulatory requirements may result in enforcement action or other actions by the FDA, which may include one or more of the following sanctions: adverse press releases and safety communications; requests to stop shipments; untitled letters or warning letters; fines, injunctions, and civil penalties; mandatory recall or seizure of our products; customer notifications and repairs or replacements; administrative detention or banning of our products; consent decrees; operating restrictions, partial suspension or total shutdown of production; refusing our request for 510(k) clearances for new product versions or modifications to existing product versions; revocation of 510(k) clearances previously granted; refusal to grant export approval for our products; and criminal prosecution and penalties. If any of these events were to occur, they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International Regulation of Medical Devices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Sales of medical devices outside the United States are subject to foreign government regulations, which vary substantially from country to country. In order to market our products in other countries, we must comply with applicable regulatory requirements and authorizations and approvals and safety and quality regulations in each country in which the product is marketed. The time required to obtain authorization, approval, or certification by a foreign country may be longer or shorter than that required for FDA clearance, and the requirements may differ significantly.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EU Regulation of Medical Devices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European Union (“EU”) until May 25, 2021, medical devices were regulated by the Council Directive 93/42/EEC, which has been repealed and replaced by the Medical Device Regulation (“EU MDR”). Unlike directives, regulations are directly applicable in all EU member states without the need for member states to implement into national law. The EU extended the EU MDR transitional periods for certain medical devices until December 31, 2027 or December 31, 2028, depending on a device’s risk class and subject to certain conditions to ensure continued access to medical devices for patients and to allow medical devices already placed on the market in accordance with the current legal framework to remain on the market, provided that the requirements of the transitional provisions are fulfilled.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EU, there is currently no premarket government review of medical devices. However, all medical devices placed on the EU market must meet general safety and performance requirements, and compliance with the general safety and performance requirements is a prerequisite for European conformity marking without which medical devices cannot be marketed or sold in the EU. EU MDR requirements regarding the distribution, marketing, and sale, including quality systems and post-market surveillance, have to be observed by manufacturers, importers, and distributors as of the application date (i.e., since May 26, 2021), including registration of economic operators and of devices (once the relevant modules of Eudamed are functional), surveillance, and vigilance requirements. The aforementioned EU rules are generally applicable in the European Economic Area which consists of the 27 EU member states plus Norway, Liechtenstein, and Iceland.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NDA Approval Process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any new drug products regulated under the Federal Food, Drug, and Cosmetic Act such as our ReadyPrep CHG cloth, a sponsor must submit a New Drug Application (“NDA”), to the FDA for review and approval. The NDA review and approval process may take multiple years and involves steps including the following: </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completion of preclinical studies and analytical and stability testing in accordance with applicable regulations;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submission to the FDA of an Investigational New Drug (“IND”) application, which must become effective before clinical trials may begin and must be updated annually and amended when certain changes are made;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approval by an institutional review board, or IRB, or independent ethics committee, or IEC, at each clinical trial site before each trial may be initiated;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performance of adequate and well-controlled clinical trials in accordance with applicable IND regulations, good clinical practice, or GCP, requirements, including informed consent, financial disclosure by investigators, and other clinical trial-related regulations, to establish the safety and efficacy of the investigational product for each proposed indication and other condition of use;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preparation and submission to the FDA of an NDA;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95250"/>
                <wp:effectExtent l="0" t="0" r="0" b="0"/>
                <wp:wrapNone/>
                <wp:docPr id="15" name="Frame1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satisfactory completion of one or more FDA pre-approval inspections of the manufacturing facility or facilities where the drug will be produced to assess compliance;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satisfactory completion of FDA inspection of select clinical trial sites involved in conducting pivotal studies that generated the data in support of the NDA;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payment of user fees for FDA review of the NDA; and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FDA review and approval of the NDA, including of the proposed prescribing information and, where applicable, consideration of the views of any FDA advisory committee, prior to any commercial marketing or sale of the drug in the United States.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approvals that we may ultimately receive could be withdrawn if required post-marketing trials or analyses do not meet the FDA requirements, which could materially harm the commercial prospects for our products.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our candidate products, or obtaining approval but for significantly limited use, would harm our business. In addition, we cannot predict what adverse governmental regulations may arise from future U.S. or foreign governmental 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Trade Regulations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movement of products, services, and investment across borders subjects us to extensive trade regulations. A variety of laws and regulations in the countries in which we transact business apply to the sale, shipment, and provision of goods, services, and technology across borders. These laws and regulations govern, among other things, our import, export, and other business activities. We are also subject to the risk that these laws and regulations could change in a way that would expose us to additional costs, penalties, or liabilities. Some governments also impose economic sanctions against certain countries, governments, persons, and entities, both for unlawful or malign conduct and to discourage or prevent entities from abiding by other countries’ laws. In addition to our need to comply with such regulations in connection with our direct activities, we also sell and provide goods, technology, and services to agents, representatives, and distributors who may export such items to customers and end-users. If we, or the third parties through which we do business, are not in compliance with applicable import, export control, or economic sanctions laws and regulations, we may be subject to civil or criminal enforcement action and varying degrees of liability. Such actions may disrupt or delay sales of our products or services or result in restrictions on our distribution and sales of products or services that may materially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Anti-Boycott Laws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U.S. laws and regulations, U.S. companies and their subsidiaries and affiliates are prohibited from participating or agreeing to participate in unsanctioned foreign boycotts in connection with certain business activities, including the sale, purchase, transfer, shipping, or financing of goods or services within the United States or between the United States and countries outside of the United States. If we, or certain third parties through which we sell or provide goods or services, violate U.S. anti-boycott laws and regulations, we may be subject to civil or criminal enforcement action and varying degrees of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95250"/>
                <wp:effectExtent l="0" t="0" r="0" b="0"/>
                <wp:wrapNone/>
                <wp:docPr id="16" name="Frame1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Data Privacy and Security Laws and Regulations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includes the processing of personally identifiable information (“Personal Data”) of consumers; Medline applicants, employees, and other workforce members; our customers’ patients, plan members, and employees; our vendors’ employees; and other third parties, as well as protected health information (“PHI”), where we continue to meet the definition of a Business Associate on behalf of our customers for certain parts of our business. We maintain PHI that we Processed about Medline’s own patients under certain of our historic offerings. We are directly or, through our customers, indirectly subject to numerous and evolving federal, state, and foreign laws and regulations relating to the processing of Personal Data and PHI, such as the Health Insurance Portability and Accountability Act of 1996, as amended, and the regulations that implement the law and its amendments (collectively, “HIPAA”), the Telephone Consumer Protection Act of 1991 ("TCPA"), the Payment Card Industry Data Security Standard, Section 5 of the Federal Trade Commission Act (the “FTCA”), and the EU’s General Data Protection Regulation and its UK equivalent (“UK GDPR” and collectively, “GDPR”), the California Consumer Privacy Act, which was further expanded by the California Privacy Rights Act of 2020 (“CPRA” and collectively, “CCPA”), and similar data privacy legislation enacted or under consideration by various other U.S. states, and U.S. state data breach notification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HIPAA establishes privacy and security standards that limit our use and disclosure of PHI and requires us to implement administrative, physical, and technical safeguards to ensure the confidentiality, integrity, and availability of PHI, as well as to notify affected individuals, the HHS Office for Civil Rights (“OCR”), and, in breaches involving 500 individuals or more in a state / jurisdiction, the media, of breaches of unsecured PHI when we are acting as a Covered Entity. If we are acting as a Business Associate, we must notify our Covered Entity clients of breaches of unsecured PHI and security incidents. HIPAA contains substantial restrictions and requirements with respect to the use and disclosure of certain PHI. These restrictions and requirements are subject to change. For example, in December 2024, OCR issued a notice of proposed rulemaking to update the HIPAA security rule with respect to the cybersecurity of electronic PHI.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In addition, OCR performs compliance audits in order to proactively enforce the HIPAA privacy and security standards. OCR has the discretion to impose penalties and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HIPAA, we must adhere to U.S. state patient privacy laws that are not pre-empted by HIPAA, including those that are more stringent than HIPAA requirements. Numerous other U.S. state, federal, and foreign laws, including consumer protection laws and regulations, govern the collection, dissemination, use, access to, confidentiality, and security of patient health information. In addition, Congress and some U.S. states are considering new laws and regulations that further protect the privacy and security of medical records or medical information. With the recent increase in publicity regarding data breaches resulting in improper dissemination of consumer information, all states have passed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in addition to actions related to the Health Breach Notification Rule (“HBNR”).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FTC is increasingly active in regulating health-related privacy and security, including by holding companies accountable for statements or promises made about the privacy or security of health information, through Section 5 of the FTCA, which prohibits unfair or deceptive acts or practices. In addition,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For information that is not subject to HIPAA and deemed to be “personal health records,” the FTC may also impose penalties for violations of the HBNR to the extent we are considered a “personal health record-related entity” or “third party service provider.” As a result, we may be subject to scrutiny by federal and state regulators, partners, and consumers related to our collection, use, and disclosure of consumer Personal Data, including health information. Additionally, federal and state consumer protection laws continue to be applied by FTC and states’ Attorneys General to regulate the collection, use, storage, and disclosure of Personal Data.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95250"/>
                <wp:effectExtent l="0" t="0" r="0" b="0"/>
                <wp:wrapNone/>
                <wp:docPr id="17" name="Frame1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state level in the United States, the CCPA added new privacy protections for California residents with respect to certain types of Personal Data, including by introducing new data privacy rights for California residents and establishing a regulatory agency dedicated to enforcing compliance. The CPRA came into effect on January 1, 2023, applying to information collected by businesses on or after January 1, 2022. Various other U.S. states have enacted similar comprehensive consumer data privacy legislation, and several other U.S. states and countries are considering expanding or passing privacy laws in the near term. Further, states such as Washington, Connecticut, and Nevada have recently enacted broadly applicable laws to protect the privacy of personal health information, which generally require regulated entities to obtain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 It remains possible that the U.S. Congress will ultimately (despite many failed attempts over the past several years) enact a comprehensive federal privacy law that would preempt or partially preempt U.S. state comprehensive privacy laws, but it also remains a possibility that a federal U.S. comprehensive privacy law would not preempt state law but instead layer on additional compliance complexity.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many foreign laws and regulations, including in countries in which we currently operate, govern the Processing of Personal Data. For example, the GDPR imposes requirements for controllers and processors subject to the law with respect to Processing the Personal Data of EU and UK residents. Guidance on implementation and compliance practices is often updated or otherwise revised. Ensuring compliance with the GDPR is an ongoing commitment that involves substantial costs, and despite our efforts, data protection authorities or others (including individual consumers) may assert that our business practices fail to comply with its requirements. If our operations are found to violate GDPR requirements, we may incur substantial fines and other penalties, required changes to our business practices and reputational harm, any of which could have an adverse effect on our business. Such penalties are in addition to any civil litigation claims by data controllers and data subjects. Laws and regulations relating to privacy and data protection are continually evolving and subject to potentially differing interpretations by various courts and regulators. The effects of the new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product offerings, we also provide electronic medical devices and other digital tools which can connect to each other and to other technology. Many of the laws referenced above also contain requirements to have appropriate technical and organizational security controls and measures in place for such technologies and technical infrastructure. We must manage the information security as well as privacy risks of these connected systems to ensure secure and effective exchange and use of exchanged information. Perceived or actual security vulnerabilities in our products or services, or the perceived or actual failure by us or our customers who use our products or services to comply with applicable legal or contractual data privacy and security requirements, may not only cause us significant reputational harm, but may also lead to claims against us by our customers and/or governmental and regulatory authorities and involve substantial fines, penalties and other liabilities and expenses, and costs for remediation.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a privacy or security incident or claim that we, a service provider, or a third party with which we do business has violated applicable privacy or security laws and regulations, we may be subject to regulatory or legal action. If legislation or regulations are changed or expanded, or if governing jurisdictions interpret or implement legislation or regulations in new ways, it could require changes in our business practices and adversely affect our business,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Healthcare Fraud and Abuse Laws and Regulations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businesses involve the marketing and sale of, and third-party payment for, med-surg products that are subject to extensive state, federal, and foreign governmental laws and regulations. U.S. laws and regulations are imposed primarily in connection with government healthcare programs, such as the Medicare, Medicaid, and TRICARE programs, as well as the government’s interest in regulating the quality and cost of healthcare. U.S. federal healthcare laws apply when we or our customers submit claims for items or services that are reimbursed under government healthcare programs, including laws related to kickbacks, false claims, self-referrals and healthcare fraud. We have been, and may in the future be, subject to CMS audits of our performance to determine our historical compliance with CMS contracts and regulations. Other governments also impose laws and regulations in connection with their healthcare reimbursement programs and the delivery of healthcare items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95250"/>
                <wp:effectExtent l="0" t="0" r="0" b="0"/>
                <wp:wrapNone/>
                <wp:docPr id="18" name="Frame1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med-surg products are purchased principally by hospitals and physicians that typically bill various third-party payers, including government healthcare programs, private insurance plans and managed care plans, for the healthcare services provided to their patients. We also directly submitted claims to government healthcare programs as a Medicare-enrolled durable medical equipment, prosthetics, orthotics, and supplies (“DMEPOS”) supplier. As a result, we have been and from time to time are subject to audits by government healthcare programs and third-party payers related to such claims, which may require actions including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Key federal fraud and abuse laws include the federal Anti-Kickback Statute (the “AKS”), the Stark Law, False Claims Act (the “FCA”), and the Civil Monetary Penalties Law (the “CMP Law”). The AKS prohibits, among other things, any person or entity from knowingly and willfully offering, paying, soliciting, or receiving any remuneration (including any kickback, bribe, or rebate), directly or indirectly, overtly or covertly, to induce, reward, or in return for the referral of an individual for, or the purchasing, leasing, ordering, or arranging for or recommending the purchase, lease, or order of any good, facility, item, or service reimbursable, in whole or in part, by Medicare, Medicaid, or other federal healthcare programs. The term “remuneration” has been broadly interpreted to include anything of value, including cash, improper discounts, and free or reduced price items and services. Among other things, the AKS has been interpreted to apply to arrangements between pharmaceutical, biotechnology, and medical device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program-covered business, the AKS has been violated. In addition, a person or entity does not need to have actual knowledge of the statute or specific intent to violate it in order to have committed a violation. Violations are subject to civil monetary penalties of up to $124,732 (which is adjusted annually for inflation) for each violation, plus up to three times the remuneration involved, and may result in criminal fines and imprisonment of up to ten years, and/or exclusion from Medicare, Medicaid, or other governmental programs.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Federal law also includes a provision commonly known as the Stark Law, which prohibits a physician from referring Medicare or Medicaid patients to an entity providing “designated health services,” which includes DME, if the physician or immediate family member of the physician has an ownership or investment interest or compensation arrangement with such entity that does not comply with the requirements of a Stark exception. Violation of the Stark Law could result in denial of payment, disgorgement of reimbursements received under a non-compliant arrangement, civil penalties, and exclusion from Medicare, Medicaid, or other governmental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95250"/>
                <wp:effectExtent l="0" t="0" r="0" b="0"/>
                <wp:wrapNone/>
                <wp:docPr id="19" name="Frame1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false claims and civil monetary penalties laws, including the civil False Claims Act, prohibit,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Further, a claim including items or services resulting from a violation of the federal AKS or Stark Law also constitutes a false or fraudulent claim for purposes of the federal civil False Claims Act. Actions under the False Claims Act may be brought by the Attorney General or as a qui tam action by a private individual in the name of the U.S. government. Violations of the False Claims Act can result in very significant monetary penalties and treble damages. The federal government is using the False Claims Act and the accompanying threat of significant liability in its investigation and prosecution of pharmaceutical, biotechnology, and medical device companies throughout the country. Manufacturers can be held liable under these laws if they are deemed to “cause” the submission of false or fraudulent claims, for example, in connection with the promotion of products for unapproved or off-label uses and other sales and marketing practices. The government has obtained multi-million and multi-billion dollar settlements under the False Claims Act in addition to individual criminal convictions under applicable criminal statutes. When an entity is determined to have violated the federal civil False Claims Act, the government may impose civil fines and penalties ranging from $13,946 to $27,894 (which are adjusted annually for inflation) for each false claim, plus treble damages, and exclude the entity from participation in Medicare, Medicaid, TRICARE, and other federal healthcare programs. In addition, companies found liable under the False Claims Act have been forced to implement extensive corrective action plans and have often become subject to consent decrees or corporate integrity agreements, severely restricting the manner in which they conduct their business and imposing ongoing reporting and disclosure obligations.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CMP Law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fraud and abuse laws and regulations have been subject to heightened enforcement activity over the past few years, and significant enforcement activity has been the result of qui tam “relators” who serve as whistleblowers by filing complaints in the name of the United States (and, if applicable, particular states) under applicable false claims laws, and who may receive up to 30% of total government recoveries. Penalties under fraud and abuse laws may be severe and could result in significant civil and criminal penalties and costs, including the loss of licenses and the ability to participate in federal and state healthcare programs. Such penalties could have a material adverse effect on our business, results of operations and financial condition. Also, these measures may be interpreted or applied by a prosecutorial, regulatory, or judicial authority in a manner that could require us to make changes in our operations or incur substantial defense and settlement expenses. Given the significant size of actual and potential settlements, it is expected that governmental authorities will continue to devote substantial resources to investigating healthcare providers’ and manufacturers’ compliance with applicable fraud and abuse laws. Even unsuccessful challenges by regulatory authorities or private relators could result in reputational harm and the incurring of substantial costs.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a manufacturer of FDA-cleared devices reimbursable by federal healthcare programs, we are subject to the Physician Payments Sunshine Act (the “Sunshine Act”), which requires us to annually report certain payments and other transfers of value we make to U.S.-licensed physicians, as defined by statute, certain other healthcare professionals and U.S. teaching hospitals, as well as ownership and investment interests held by physicians and their immediate family members. The Sunshine Act pre-empts similar state reporting laws, although we or our subsidiaries may be required to report under certain state transparency laws that address circumstances not covered by the Sunshine Act, and some of these state laws, as well as the federal law, can be ambiguous.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Most states have adopted similar laws related to transparency, kickbacks, false claims, and self-referrals that apply to products or services covered by state Medicaid and other healthcare programs and private third-party payers, some of which apply to manufacturers and suppliers of items reimbursed by any payor, including commercial payors. In addition, these state laws have their own penalties, which may be in addition to federal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95250"/>
                <wp:effectExtent l="0" t="0" r="0" b="0"/>
                <wp:wrapNone/>
                <wp:docPr id="20" name="Frame2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foreign regulations requiring transparency of certain interactions between suppliers and their customers. Many member states in the EU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In addition, many EU member states have adopted such national “Sunshine Acts” which impose reporting and transparency requirements (often on an annual basis), similar to the requirements in the United States, on medical device manufacturers. Certain countries also mandate implementation of commercial compliance programs. Any failure to comply with these laws and regulations could subject us or our officers and employees to criminal and civil financial penalties.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we are substantially compliant with applicable fraud and abuse laws and regulations, and have implemented compliance programs and controls in place designed to ensure substantial compliance, we cannot predict whether changes in applicable law, or interpretation of laws, or changes in our services or marketing practices in response to changes in applicable law or interpretation of laws, or failure to comply with applicable law, could have a material adverse effect on our business, results of operations and financial condition.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Implementation of legislative or regulatory reforms to reimbursement systems,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Environmental, Health and Safety Requirements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environmental, health and safety (“EHS”) requirements both inside and outside the United States. Like other companies in our industry, our manufacturing and other operations involve air emissions, wastewater and stormwater discharges, and the storage, use, and management of hazardous and other sensitive materials, and the disposal of hazardous waste. We are also subject to requirements relating to safe working conditions and laboratory practices. Our operations involve the use of substances regulated under EHS requirements, primarily in our manufacturing and sterilization processes. We believe we have implemented policies, practices and procedures that enable us to comply with applicable EHS requirements. However, EHS requirements may be detailed and complex, and we sometimes have been cited for violations of such requirements and may be cited for violations in the future. In addition, many such requirements are becoming increasingly stringent, and we are sometimes required to make changes to our operations for continued compliance, which can require substantial capital investments as well as increases in operating costs. See Part I, “Item 1A—Risk Factors—Risks Related to Regulation and Legal Proceedings—We are subject to extensive environmental, health and safety requirements, and our operations involve hazardous and other environmentally sensitive substances.”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we, as well as others in our industry, rely on ethylene oxide (“EtO”) to sterilize certain medical products that we manufacture. In light of evolving science regarding risks related to EtO exposure, regulatory actions have been taken by some jurisdictions to reduce EtO emissions, and we have made substantial improvements to our two primary EtO sterilization facilities to meet such requirements and otherwise manage EtO emissions. There also has been a significant increase in regulations regarding per- and polyfluoroalkyl substances (“PFAS”) in both the United States and Europe, including new and evolving regulations that prohibit the use (or require disclosure of the presence) of certain forms of PFAS in products. PFAS are ubiquitous in manufacturing, and not all forms of PFAS have been found to be hazardous to human health. We are actively developing and implementing protocols to comply with evolving regulations.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Operating, Security and Licensure Standards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certain operational, security, and licensure requirements, including the federal Drug Supply Chain Security Act (“DSCSA”) in the United States, which mandates an industry-wide, national serialization system for pharmaceutical packaging with a ten-year phase-in process. By November 2018, all manufacturers and re-packagers were required to mark each prescription drug package with a unique serialized code. The DSCSA also establishes certain requirements for the licensing and operation of prescription drug wholesalers and third-party logistics providers and includes the eventual creation of national wholesaler and third-party logistics provider licenses in cases where states do not license such entities. In addition, with respect to our durable medical equipment (“DME”) business, we are subject to certain state licensure laws (including state pharmacy laws), and also certain accreditation standards, including to qualify for reimbursement from Medicare and other third-party payers.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95250"/>
                <wp:effectExtent l="0" t="0" r="0" b="0"/>
                <wp:wrapNone/>
                <wp:docPr id="21" name="Frame2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the FDA’s unique device identification system requirements, which require “labelers” to include unique device identifiers (“UDIs”), with a content and format prescribed by the FDA and issued under a system operated by an FDA-accredited issuing agency, on the labels and packages of medical devices and to directly mark certain devices with UDIs. The UDI regulations also require labelers to submit certain information concerning UDI-labeled devices to the FDA.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businesses are also required to register for permits and/or licenses with various state boards of pharmacy, state health departments and/or comparable state agencies as well as comparable foreign agencies, and certain accrediting bodies, depending on the type of operations and location of product distribution, manufacturing or sale. These businesses include those that distribute, manufacture, and/or repackage medical products, or own pharmacy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Antitrust and Consumer Protection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government of the United States, most U.S. states, and many foreign countries have antitrust laws that prohibit certain types of conduct deemed to be anti-competitive, as well as consumer protection laws that seek to protect consumers from improper business practices. At the U.S. federal level, the FTC, CPSC and DOJ oversee enforcement of these types of laws, and states have similar government agencies. Violations of antitrust or consumer protection laws may result in various sanctions, including criminal and civil penalties. Private plaintiffs may also bring civil lawsuits against us in the United States for alleged antitrust law violations, including claims for treble damages. EU law also regulates competition and provides for detailed rules protecting consumers.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International Transactions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U.S. and foreign import and export laws and regulations require us to abide by certain standards relating to the importation and exportation of products, including but not limited to the absence of forced labor in our supply chain. We also are subject to certain laws and regulations concerning the conduct of our foreign operations, including the U.S. Foreign Corrupt Practices Act (the “FCPA”), U.S. export control laws, the UK Bribery Act, German anti-corruption laws, and other anti-bribery laws and laws pertaining to the accuracy of our internal books and records, as well as other types of foreign requirements similar to those imposed in the United States.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we are substantially compliant with the foregoing laws and regulations promulgated thereunder and possess all material permits and licenses required for the conduct of our business, and while we have policies against and seek to avoid the import of goods that are manufactured in whole or in part by forced labor or other exploitative labor practices, there can be no assurance that regulations that impact our business or customers’ practices will not have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were incorporated in Delaware in November 2024 under the name of Medline Inc. Our principal executive offices are located at 3 Lakes Drive, Northfield, Illinois 60093. Our telephone number is (847) 949-5500. Our website address is www.medline.com. Information contained on, or that can be accessible through, our website is not a part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95250"/>
                <wp:effectExtent l="0" t="0" r="0" b="0"/>
                <wp:wrapNone/>
                <wp:docPr id="22" name="Frame2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file electronically with the SEC our Annual Reports on Form 10-K, Quarterly Reports on Form 10-Q, Current Reports on Form 8-K, proxy statements and other forms or reports as required. Our filings with the U.S. Securities and Exchange Commission (the “SEC”) are available to the public over the Internet at the SEC’s website at www.sec.gov. We also use our investor relations website at ir.medline.com, press releases, public conference calls and webcasts, and social media as routine channels of distribution to communicate important, and often material, information about Medline to investors and the public, including information about our financial performance and results, analyst and investor presentations, investor days, products, solutions, sustainability initiatives, and corporate governance practices. We encourage you to follow these channels, in addition to our SEC filings, for timely information about the Company. Our SEC filings, including Annual Reports on Form 10-K, Quarterly Reports on Form 10-Q, Current Reports on Form 8-K, and amendments to those reports filed or furnished pursuant to Section 13(a) or 15(d) of the Securities Exchange Act of 1934, as amended, (the “Exchange Act”), are available free of charge on our investor relations website as soon as reasonably practicable after they are filed with or furnished to the SEC. The information on our websites is not part of this Annual Report and is not incorporated by reference into this report or any other filing we make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Investing in our securities involves risks. Before you invest in our securities, you should carefully consider the risk factors below together with all of the other information included in this Annual Report. If any of the risks discussed herein were to occur, our business, prospects, liquidity, financial condition, and results of operations could be materially impaired. In such case, the market price of our Class A common stock could decline, and you may lose some or all of your investment. The disclosures in this section reflect our beliefs and opinions as to factors that could materially and adversely affect us in the future. References to past events are provided by way of example only and are not intended to be a complete listing or a representation as to whether or not such factors have occurred in the past. Some statements in this Annual Report, including statements in the following risk factors, constitute forward-looking statements.</w:t>
      </w:r>
      <w:r>
        <w:rPr>
          <w:color w:val="000000"/>
        </w:rPr>
        <w:t xml:space="preserve"> </w:t>
      </w:r>
      <w:r>
        <w:rPr>
          <w:rFonts w:ascii="Times New Roman;serif" w:hAnsi="Times New Roman;serif"/>
          <w:b w:val="false"/>
          <w:i/>
          <w:color w:val="000000"/>
          <w:sz w:val="20"/>
        </w:rPr>
        <w:t>See “Cautionary Note Regarding Forward-Looking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Our Business, Industry, and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global operations are subject to inherent risks that could materially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global operations are subject to risks that may materially adversely affect our business, results of operations, and financial condition. We import a significant percentage of our Medline Brand products from outside of the United States, </w:t>
      </w:r>
      <w:r>
        <w:rPr>
          <w:rFonts w:ascii="Times New Roman;serif" w:hAnsi="Times New Roman;serif"/>
          <w:b w:val="false"/>
          <w:color w:val="000000"/>
          <w:sz w:val="20"/>
          <w:shd w:fill="FFFFFF" w:val="clear"/>
        </w:rPr>
        <w:t>including 5% of our costs of goods sold from China</w:t>
      </w:r>
      <w:r>
        <w:rPr>
          <w:color w:val="000000"/>
        </w:rPr>
        <w:t xml:space="preserve"> </w:t>
      </w:r>
      <w:r>
        <w:rPr>
          <w:rFonts w:ascii="Times New Roman;serif" w:hAnsi="Times New Roman;serif"/>
          <w:b w:val="false"/>
          <w:color w:val="000000"/>
          <w:sz w:val="20"/>
        </w:rPr>
        <w:t xml:space="preserve">for the year ended December 31, 2025. As a result of our global operations, we may experience, among other things: </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difficulties and costs relating to staffing and managing foreign operations;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difficulties and delays inherent in sourcing products, establishing channels of distribution, and contract manufacturing in foreign markets;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difficulties in ending foreign distribution relationships where the distributor exclusively or predominantly markets and sells Medline Brand products;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concerns related to transparency regarding extended international supply chains and labor risk based on sourcing footprint, including compliance with labor and human rights laws, that might arise despite reasonable efforts to mitigate this risk;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fluctuations in the value of foreign currencies;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uncertainties relating to trade agreements and international trade relationships;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longer payment cycles of foreign customers and difficulty of collecting receivables in foreign jurisdictions;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difficulties repatriating cash from our foreign operations to the United States;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legal and regulatory requirements including, without limitation, compliance with the FCPA; UK bribery laws and similar anti-bribery, anti-corruption, and economic sanctions laws and regulations; laws pertaining to the accuracy of our internal books and records; and environmental, health, and safety laws and regulations;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litigation risks, new or unanticipated litigation developments, and the status of litigation matters;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unexpected difficulties in importing or exporting our products and trade laws, import/export tariffs, quotas, sanctions, or penalties, custom duties, and other trade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95250"/>
                <wp:effectExtent l="0" t="0" r="0" b="0"/>
                <wp:wrapNone/>
                <wp:docPr id="23" name="Frame2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limitations on our ability under local laws to protect our intellectual property;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unexpected regulatory, legal, economic, and political changes in foreign markets;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changes in tax regulations that impact our operations, including purchases of capital equipment;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customs, tax, governmental, or other regulatory investigations, enforcements, and penalties, which may lead to informational requests and audits;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civil disturbances, geopolitical turmoil, including terrorism, war, or political or military coups (including, without limitation, the ongoing conflicts in Ukraine and the Middle East);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risks associated with climate change, including physical risks such as impacts from extreme weather events and other potential physical consequences;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policy, legal, and regulatory impacts, including but not limited to those that affect the import of goods or require supply chain transparency;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market developments;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stakeholder expectations and reputational risk; and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public health emergencies, such as the COVID-19 pandemic.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also “—Uncertain global and domestic macro-economic and political conditions could materially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be unable to derive fully the anticipated benefits from our existing or future acquisitions, joint ventures, investments, dispositions, or other strategic transactions.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Acquisitions, joint ventures, investments, dispositions, and other strategic transactions are an important part of our strategy to expand and enhance our products, services, and customer base and to enter new geographic areas. We are regularly in negotiations for potential acquisitions, joint ventures, investments, dispositions, and other strategic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we continue pursuing selective acquisitions, strategic investments, partnerships, or alliances with third parties to support our business and growth strategy, we may not be able to identify suitable acquisition, strategic investment, partnership, or alliance candidates on favorable terms, if at all. We may use a combination of additional debt, securities issuances, revolver borrowings, and/or cash on hand to finance such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decide from time to time to dispose of assets or businesses. We may encounter difficulty finding buyers or alternative exit strategies, fail to obtain necessary regulatory approval, or incur higher costs or charges than planned or unexpected charges. Future dispositions or divestitures may not occur within the anticipated timeframe or at all. Completed divestitures may also result in continued financial involvement in the divested business, such as through transition services arrangements, guarantees, indemnifications, or other financial arrangements, following the transaction.</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transactions may involve challenges and risks. For example, acquisitions, strategic investments, partnerships, or alliances with third parties are subject to various antitrust, unfair trade practices, and/or consumer protection laws. More stringent interpretation of these existing laws or regulations, as well as future laws or regulations, could negatively impact our growth prospects. Further, acquired businesses may have liabilities, or be subject to claims, litigation, or investigations that we did not anticipate or which exceed our estimates at the time of the acquisition. Certain factors, such as our ability to integrate the information systems of acquired companies in a secure and reliable manner, the presence or absence of adequate internal controls and/or fraud in the financial systems of acquired companies, and our ability to achieve synergies among acquired companies, will affect the success of our acquisitions. The process of exploring strategic transactions or selling a business could also negatively impact customer decision-making and cause uncertainty and negatively impact our ability to attract, retain, and motivate key employees. Any failures or delays in completing strategic transactions, dispositions, or divestitures could have an adverse effect on our business, financial condition, and results of operations, and on our ability to execute our strategy. In addition, we expend costs and management resources to pursue and complete strategic transactions and divestitures and manage post-closing arrangements. If a transaction does occur, we may not be able to realize any value created by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95250"/>
                <wp:effectExtent l="0" t="0" r="0" b="0"/>
                <wp:wrapNone/>
                <wp:docPr id="24" name="Frame2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Consolidation in the healthcare industry could have an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Many healthcare industry companies, including healthcare systems, distributors, manufacturers, suppliers, providers, and insurers, are consolidating or have formed strategic alliances. We expect that market demand, government regulation, third-party coverage and reimbursement policies, and societal pressures will continue to change the healthcare industry worldwide, resulting in further business consolidations and alliances among our customers. Although we believe consolidation in the healthcare industry represents a potential market opportunity, the effects of this consolidation on our business may be unpredictable and could have a material adverse effect on our business, results of operations, and financial condition. For example, competition to provide goods and services to industry participants will become more intense. Additionally, our existing customers, including our Prime Vendor customers, may consolidate with industry participants that do not use our services or purchase our products, resulting in the loss of customer relationships. Further, this consolidation creates larger enterprises with greater negotiating power, which they can use to negotiate price concessions. If we must reduce our prices because of industry consolidation, or if we lose customers as a result of their consolidation with other industry participants, our business, results of operations, and financial condition could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operate in a highly competitive industry, with accelerating pricing pressure and changes in technology.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med-surg industry is highly competitive and characterized by pricing and margin pressure for our business. We compete with other medical product manufacturers and distributors, as well as customer self-distribution models and outsourced logistics companies. We compete on a range of factors, including market pricing, negotiating with provider networks and Group Purchasing Organizations (“GPOs”), total delivered product cost, product availability, the ability to fill and invoice orders accurately, delivery time, range of services provided, efficient product sourcing, inventory management, information technology, electronic commerce capabilities, and the ability to meet customer-specific requirements and preferences. In certain channels, competitors may have other products and services that are, or are perceived to be, superior to our own. Furthermore, the increasing leverage of organized buying groups may reduce market prices for our products, thereby reducing our revenue and margins. The cost of our efforts to manage these competitive pressures, or our inability to compete effectively with respect to them,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Traditional distribution relationships are being challenged by online commerce solutions. Such competition requires us to adapt to changing technology, continue to provide enhanced service offerings, and continue to develop ways to differentiate our business to address demands of consumers and customers on a timely basis, which may require us to incur significant costs. Additionally, when we sell products through large online commerce solutions, such as Amazon, we forfeit our ability to establish pricing or differentiate in placement among competitor products and are required to pay a portion of the sale to the online commerce solution. The emergence of such competition and our inability to anticipate and effectively respond to changes on a timely basis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inability to anticipate or adapt to major changes in available technology, benefit or coverage policies related to those changes, or the preferences of customers may cause our current product offerings to become less competitive or obsolete or require significant strategic changes. This, in turn, could cause us to incur increased capital expenditures and could have a material adverse effect on our business, results of operations,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our ability to compete effectively is increasingly dependent on access to and interpretation of data. Data quality impacts customer ordering, order fulfillment, and higher order processing. If we fail to effectively implement and maintain data governance structures across our businesses or to effectively interpret and utilize such data, our operations could be impacted and we may be at a competitive disadvantage.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95250"/>
                <wp:effectExtent l="0" t="0" r="0" b="0"/>
                <wp:wrapNone/>
                <wp:docPr id="25" name="Frame2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to the U.S. and global healthcare environments may not be favorable to 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U.S. healthcare industry is subject to continued changes in public policy, laws, and regulations, including changes governing healthcare services, healthcare coverage, mandated benefits, efforts to promote increased transparency in the supply chain, further reduction of, or limitations on, governmental funding at the state or federal level, or efforts by healthcare insurance companies to further limit payments for products and services. The industry has undergone, is undergoing, and is expected to further undergo significant changes. These changes may include, and have previously included, declines in Medicare and Medicaid spending and reimbursement levels, changes to eligibility and enrollment that result in individuals becoming uninsured, hospital and healthcare facility closures, hospitals reducing or eliminating certain lines of service and staff, changes to provider taxes, pricing reforms, efforts by healthcare insurance companies to limit or reduce payments to pharmacies and providers, the basis for payments beginning to transition from a fee-for-service model to value-based payments and risk-sharing models, and the industry shifting away from traditional healthcare venues like hospitals and into clinics, physician offices, and patients’ homes, and other potential changes. The impact of newly enacted laws, future legislative proposals, and executive orders that may bring significant changes to the healthcare industry is uncertain. These possible changes, and the uncertainty surrounding them, may limit our negotiating power, the prices we are able to charge for our products, the amounts of reimbursement for our products, or our ability to develop new products, which could have a material adverse effect on our business, results of operations, and financial condition.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healthcare industry outside the United States is also subject to continuous and significant changes, including changes, actions, and proposals by governments, regulators, and third-party payers to control healthcare costs and, more generally, to reform healthcare systems. Certain of these actions and proposals could, among other things, limit the prices we are able to charge for our products or the amounts of reimbursement available for our products and could limit the acceptance and availability of our products in a variety of international markets. These actions and proposals could have an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Increases in shipping costs or service issues with our third-party shippers could harm our business.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meet our customers’ expedited delivery expectations is an integral component of our business strategy on which our customers rely. Shipping is a significant expense in the operation of our business, and we bear the cost of the majority of our freight expense. Global capacity challenges, port congestion, and equipment displacement continue to create upward pressure on import costs. Accordingly, any significant increase in shipping rates and times could have a material adverse effect on our business, results of operations, and financial condition. For example, in 2022, we experienced increases in freight expenses, which negatively impacted our results of operations. Higher freight expenses may continue to negatively affect our results of operations in the future. Further, the conflicts in the Middle East, such as the Israel-Hamas war, Ukraine, and other regions have brought, and could further bring about, disruption, instability, and volatility in global markets, supply chains, and logistics operations, which could in turn adversely affect our business operations and financial performance. Similarly, strikes or other service interruptions affecting our third-party shippers, including at transportation centers or shipping ports, could cause our operating expenses to rise and materially adversely affect our ability to obtain materials and deliver products on a timely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Significant challenges or delays in our sourcing of new products and technologies could have an adverse impact on our long-term success.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continued growth and success depends on our ability to source new and differentiated products and services that address the evolving healthcare needs of patients, providers, and consumers. Sourcing successful products and technologies is also necessary to offset revenue losses when our existing products lose sales due to various factors such as competition and loss of patent exclusivity. New products or enhancements to existing products may not be accepted quickly or significantly in the marketplace due to product and price competition, changes in customer preferences or healthcare purchasing patterns, resistance by healthcare providers, or uncertainty over third-party reimbursement. We cannot be certain when or whether we will be able to source, license, or otherwise acquire products and technologies; whether potential products will be granted regulatory clearance, authorization, or certification; and, if cleared, authorized, or certified, how long the clearance, authorization, or certification of a product might take to complete or whether such products will be commercially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95250"/>
                <wp:effectExtent l="0" t="0" r="0" b="0"/>
                <wp:wrapNone/>
                <wp:docPr id="26" name="Frame2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have concentration in and dependence on certain healthcare provider customers and GPOs.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the year ended December 31, 2025, our top five U.S. customers represented approximate</w:t>
      </w:r>
      <w:r>
        <w:rPr>
          <w:rFonts w:ascii="Times New Roman;serif" w:hAnsi="Times New Roman;serif"/>
          <w:b w:val="false"/>
          <w:color w:val="000000"/>
          <w:sz w:val="20"/>
          <w:shd w:fill="FFFFFF" w:val="clear"/>
        </w:rPr>
        <w:t xml:space="preserve">ly </w:t>
      </w:r>
      <w:r>
        <w:rPr>
          <w:rFonts w:ascii="Times New Roman;serif" w:hAnsi="Times New Roman;serif"/>
          <w:b w:val="false"/>
          <w:color w:val="000000"/>
          <w:sz w:val="20"/>
        </w:rPr>
        <w:t>$3.2</w:t>
      </w:r>
      <w:r>
        <w:rPr>
          <w:color w:val="000000"/>
          <w:shd w:fill="FFFFFF" w:val="clear"/>
        </w:rPr>
        <w:t xml:space="preserve"> </w:t>
      </w:r>
      <w:r>
        <w:rPr>
          <w:rFonts w:ascii="Times New Roman;serif" w:hAnsi="Times New Roman;serif"/>
          <w:b w:val="false"/>
          <w:color w:val="000000"/>
          <w:sz w:val="20"/>
          <w:shd w:fill="FFFFFF" w:val="clear"/>
        </w:rPr>
        <w:t xml:space="preserve">billion (or </w:t>
      </w:r>
      <w:r>
        <w:rPr>
          <w:rFonts w:ascii="Times New Roman;serif" w:hAnsi="Times New Roman;serif"/>
          <w:b w:val="false"/>
          <w:color w:val="000000"/>
          <w:sz w:val="20"/>
        </w:rPr>
        <w:t>11.3%</w:t>
      </w:r>
      <w:r>
        <w:rPr>
          <w:rFonts w:ascii="Times New Roman;serif" w:hAnsi="Times New Roman;serif"/>
          <w:b w:val="false"/>
          <w:color w:val="000000"/>
          <w:sz w:val="20"/>
          <w:shd w:fill="FFFFFF" w:val="clear"/>
        </w:rPr>
        <w:t xml:space="preserve">) of </w:t>
      </w:r>
      <w:r>
        <w:rPr>
          <w:rFonts w:ascii="Times New Roman;serif" w:hAnsi="Times New Roman;serif"/>
          <w:b w:val="false"/>
          <w:color w:val="000000"/>
          <w:sz w:val="20"/>
        </w:rPr>
        <w:t>our net sales</w:t>
      </w:r>
      <w:r>
        <w:rPr>
          <w:rFonts w:ascii="Times New Roman;serif" w:hAnsi="Times New Roman;serif"/>
          <w:b w:val="false"/>
          <w:color w:val="000000"/>
          <w:sz w:val="20"/>
          <w:shd w:fill="FFFFFF" w:val="clear"/>
        </w:rPr>
        <w:t xml:space="preserve">. In addition, for the year ended December 31, 2025, approximately $19.7 billion (or 69% of consolidated net sales and 74% of U.S. net sales) was from sales to member hospitals under contract with our largest GPOs: Vizient Supply, LLC, HealthTrust Purchasing Group, L.P., and Premier Healthcare Alliance, L.P. </w:t>
      </w:r>
      <w:r>
        <w:rPr>
          <w:rFonts w:ascii="Times New Roman;serif" w:hAnsi="Times New Roman;serif"/>
          <w:b w:val="false"/>
          <w:color w:val="000000"/>
          <w:sz w:val="20"/>
        </w:rPr>
        <w:t>We could lose a significant healthcare provider customer if an existing contract expires without being replaced or is terminated by the customer prior to its expiration. Although the termination of our relationship with a given GPO would not necessarily result in the loss of the member hospitals as customers, any such termination of a GPO relationship, or a significant individual healthcare provider customer relationship,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be unable to attract, develop, and retain key employees.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technical, and other key personnel play an integral role in the development, marketing, and selling of new and existing products. Our ability to attract, engage, develop, and retain qualified and experienced employees, including key executives and other talent, is essential for us to meet our strategic business objectives. We compete with many other businesses to attract and retain employees. Competition among potential employers might result in increased salaries, benefits, or other employee-related costs. Additionally, we have observed an overall tightening and increasingly competitive labor market due to labor shortages, inflationary pressures and other macroeconomic factors including increased wages offered by other employers, and voluntary attrition of our employees and the employees of our third-party suppliers, manufacturers, distributors, and customers. If we are unable to maintain competitive and equitable compensation and benefit programs and practices that meet the expectations of our employees, including incentive programs that reward financial and operational performance, remote and hybrid work practices, flexible and alternative work arrangements, and corporate responsibility practices, our ability to recruit, hire, engage, motivate, and retain talent could be negatively affected. Furthermore, we may be unable to maintain an inclusive culture that aligns our diverse work force with our mission and values, or we may suffer negative perception of our belonging initiatives due to our perceived over or under pursuit of such initiatives. We have experienced and could continue to experience further or increased attempts to unionize portions of our workforce. Finally, any of these risks could increase our labor costs, harm our culture, decrease employee engagement, create legal costs, or damage our reputation, all of which could negatively impact our ability to attract, hire, develop, and retain a talented, competitive, and highly skilled workforce and have a material adverse effect on our business, results of operations, and financial condition.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experience sudden loss of key personnel due to a variety of causes, such as illness or the competitive factors above. Our ability to effectively succession plan, and to execute such plans, is also important to our long-term success. In addition, recent legal and regulatory changes affect our ability to enforce post-termination obligations from certain employees with respect to non-competition, non-solicitation, and protection of confidential information, which may negatively impact our ability to retain employees and protect our information and relationships with customers and other third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business and operations depend on the proper functioning of our critical facilities and distribution networks and could be negatively impacted by events outside our control.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w:t>
      </w:r>
      <w:r>
        <w:rPr>
          <w:rFonts w:ascii="Times New Roman;serif" w:hAnsi="Times New Roman;serif"/>
          <w:b w:val="false"/>
          <w:color w:val="000000"/>
          <w:sz w:val="20"/>
          <w:shd w:fill="FFFFFF" w:val="clear"/>
        </w:rPr>
        <w:t xml:space="preserve">r business depends on the proper functioning of our business processes and critical facilities and our logistics and distribution networks as well as those of our third-party suppliers. We have a differentiated distribution network of 30 manufacturing facilities; 70 global distribution centers, </w:t>
      </w:r>
      <w:r>
        <w:rPr>
          <w:rFonts w:ascii="Times New Roman;serif" w:hAnsi="Times New Roman;serif"/>
          <w:b w:val="false"/>
          <w:color w:val="000000"/>
          <w:sz w:val="20"/>
        </w:rPr>
        <w:t xml:space="preserve">warehouses, cross-docks, and transship facilities; </w:t>
      </w:r>
      <w:r>
        <w:rPr>
          <w:rFonts w:ascii="Times New Roman;serif" w:hAnsi="Times New Roman;serif"/>
          <w:b w:val="false"/>
          <w:color w:val="000000"/>
          <w:sz w:val="20"/>
          <w:shd w:fill="FFFFFF" w:val="clear"/>
        </w:rPr>
        <w:t>and a fleet of more than 2,100 MedTrans trucks. Disruptions impacting our critical facilities or our logistics and distribution networks, including those caused by infrastructure, informatio</w:t>
      </w:r>
      <w:r>
        <w:rPr>
          <w:rFonts w:ascii="Times New Roman;serif" w:hAnsi="Times New Roman;serif"/>
          <w:b w:val="false"/>
          <w:color w:val="000000"/>
          <w:sz w:val="20"/>
        </w:rPr>
        <w:t>n, and equipment malfunction; failure to follow specific protocols and procedures; facility shutdowns; recalls or quality problems; failure to properly control inventory; actions either required or determined to be taken to cease shipments in response to regulatory requests, pressure, actions or safety issues; regulatory enforcement actions; increased shipping times; defective raw materials; labor shortages; tariffs or other import or export restrictions; natural disasters such as hurricanes, tornadoes, earthquakes, or wildfires; property damage, including from riots and other environmental factors; the impact of epidemics, pandemics, or other public health crises, and actions by businesses, communities, and governments in response could adversely affect our business, results of operations, and financial condition and damage to our reputation. We also incur costs to remediate these disruptions, and it is possible that these costs could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95250"/>
                <wp:effectExtent l="0" t="0" r="0" b="0"/>
                <wp:wrapNone/>
                <wp:docPr id="27" name="Frame2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be required to recognize impairment charges related to goodwill, identified intangible assets, and fixed assets that would reduce our reported assets and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other identifiable intangible assets comprise a substantial portion of our total assets. There is significant judgment required in the analysis of a potential impairment of goodwill, identified intangible assets and fixed assets. If, as a result of a general economic slowdown, deterioration in one or more of the markets in which we operate or impairment in our financial performance and/or future outlook, the estimated fair value of our long-lived assets decreases, we may determine that one or more of our long-lived assets is impaired. Recognition of an impairment would reduce our reported assets and earnings, and any such impairment charge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not realize the expected benefits from the entry into new or amended contracts, planned cost savings, and business improvement initiatives.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often enter into new or expanded contracts with customers. Although we may expect to realize substantial benefits from such contracts, we may not be successful with this strategy, or we may not realize all of the benefits we expect from such contracts. Additionally, our cost savings and business improvement initiatives could result in unexpected charges and expenses that negatively impact our financial results, and we could fail to achieve the desired efficiencies and estimated cost savings. If we are not able to effectively implement these initiatives, including outsourcing or similar third-party relationships, or if they fail to operate as intended, our financial results could be adversely affected. These types of initiatives could also yield unintended consequences such as distraction of management and employees, business disruption, and an inability to attract or retain key personnel, which could negatively affect our business or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Quality is extremely important to us and our customers due to the impact on patients and healthcare providers and the serious and potentially costly consequences of product failure. Our business exposes us to potential product liability risks that are inherent in the design, manufacture, and marketing of med-surg products. Component failures, manufacturing nonconformances, design defects, quality problems, off-label use, regulatory noncompliance, or inadequate disclosure of product-related risks or product-related information with respect to our products, whether manufactured by Medline or our third-party manufacturers, or products of other manufacturers that have been incorporated into our surgical and procedural kits, have occurred and may occur in the future and have resulted in and may result in product recalls, notifications to affected customers, and other corrective actions. Such issues, if they were to occur in the future, may result in adverse reactions, an unsafe condition, or personal injury or death. Such issues may lead to a recall of, or the issuance of a safety alert relating to, such products, and could also result in product liability claims and lawsuits, including class actions. Strong product quality is critical to the success of our goods and services. If we or our third-party manufacturers fall short of these standards and our products are the subject of recalls or safety alerts, our reputation could be damaged, we could lose customers, and our revenue and results of operations could decline. Reputational value is based in large part on perceptions of subjective qualities, including the perception of our employees. Even an isolated incident, or the aggregate effect of individually insignificant incidents, can erode trust and confidence, particularly if they result in adverse publicity, governmental investigations, or litigation, and as a result, could tarnish our brand and lead to adverse effects on our business, financial condition, and results of operations. In certain situations, we may undertake a voluntary recall or market withdrawal of products or temporarily shut down production lines based on performance relative to our own internal safety and quality monitoring and testing data or based on data from governmental or regulatory authorities or our third-party manufacturers.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such problems, including quality issues at our third-party manufacturers, past and future product liability claims, recalls, market withdrawals, or safety alerts, regardless of their ultimate outcome, could harm our reputation and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95250"/>
                <wp:effectExtent l="0" t="0" r="0" b="0"/>
                <wp:wrapNone/>
                <wp:docPr id="28" name="Frame2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failure to establish and maintain Prime Vendor relationships may cause our revenue to decline.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earn Prime Vendor agreements is an important revenue driver for us. Our active Prime Vendor agreements as of December 31, 2025 generated approximately 63.4% ($18.0 billion) of net sales for the year ended December 31, 2025. Certain of our Prime Vendor agreements provide for rights of termination for convenience. If we are unable to successfully establish new Prime Vendor agreements, maintain or expand our Prime Vendor relationships or if there is an actual or perceived decrease in the quality of service and care levels we provide to our Prime Vendor customers, our Prime Vendor relationships could be negatively impacted and revenues may decline.As part of our growth strategy, we seek to drive customer savings through the conversion of Supply Chain Solutions products to like-for-like Medline Brand products, which we typically expect to have higher margins. There are no assurances that we will be successful in executing this strategy. Conversion of Supply Chain Solutions products to Medline Brand products will depend on a number of factors, many of which are not in our control, including our ability to successfully market Medline Brand products and Prime Vendor customer adoption of Medline Brand products. While we historically have earned higher margins upon conversion from third-party national brand products to like-for-like Medline Brand products, there are no assurances future conversions will yield similar margins. Additionally, because of the lower average prices for Medline Brand products, there is typically a negative impact on net sales upon the conversion of Supply Chain Solutions products to like-for-like Medline Brand products if volume is assumed to be constant. Moreover, for new Prime Vendor customers, Medline Brand products typically represent a lower portion of the customer’s product mix compared to existing Prime Vendor customers. As a result, our margins may be negatively impacted by sales to new Prime Vendor customers. If we are unable to effectively execute our conversion strategy, it could adversely impact our margins, as well as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we experience increased pressure to maintain or decrease the price of our goods and services and we are unable to reduce our expenses, there may be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and may continue to experience, increased pressure to lower the prices for certain of our goods and services due to pricing pressure from managed care organizations and other third-party payers, increased market power of GPOs, integrated delivery networks (“IDNs”) and other customers, and increased competition among med-surg products and services providers. GPOs and IDNs negotiate pricing arrangements with medical product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GPO contract positions do not guarantee that any level of sales will be achieved, as members of the GPO are generally free to purchase from other suppliers, and any such purchases could result in a decline in our sales volumes and revenue. The formation of new provider networks and GPOs may shift purchasing decisions to entities or persons with whom we do not have a historical relationship. This may threaten our ability to compete effectively, which could in turn negatively impact our financial results. Although we may seek to obtain similar terms from manufacturers to obtain access to lower prices demanded by GPO contracts or other contracts, and to develop relationships with provider networks and new GPOs, we may not be able to secure such terms or execute such contracts. If we experience pressure to reduce the prices for our goods and services and we are unable to reduce our expenses, our business, results of operations, financial condition, and cash flows will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Any failure by or loss of a third-party manufacturer or supplier or other manufacturing or supply-related impacts could result in delays and increased costs, which may adversely affect our business.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rely on third parties to manufact</w:t>
      </w:r>
      <w:r>
        <w:rPr>
          <w:rFonts w:ascii="Times New Roman;serif" w:hAnsi="Times New Roman;serif"/>
          <w:b w:val="false"/>
          <w:color w:val="000000"/>
          <w:sz w:val="20"/>
          <w:shd w:fill="FFFFFF" w:val="clear"/>
        </w:rPr>
        <w:t xml:space="preserve">ure and supply certain raw materials, component parts, and finished goods. For example, we utilize a network of more than 600 global partners across a diversified set of approximately 40 countries for the vast majority of the other </w:t>
      </w:r>
      <w:r>
        <w:rPr>
          <w:rFonts w:ascii="Times New Roman;serif" w:hAnsi="Times New Roman;serif"/>
          <w:b w:val="false"/>
          <w:color w:val="000000"/>
          <w:sz w:val="20"/>
        </w:rPr>
        <w:t>two-thirds</w:t>
      </w:r>
      <w:r>
        <w:rPr>
          <w:color w:val="000000"/>
          <w:shd w:fill="FFFFFF" w:val="clear"/>
        </w:rPr>
        <w:t xml:space="preserve"> </w:t>
      </w:r>
      <w:r>
        <w:rPr>
          <w:rFonts w:ascii="Times New Roman;serif" w:hAnsi="Times New Roman;serif"/>
          <w:b w:val="false"/>
          <w:color w:val="000000"/>
          <w:sz w:val="20"/>
          <w:shd w:fill="FFFFFF" w:val="clear"/>
        </w:rPr>
        <w:t>of our Medline Brand products that are not manufactured at our manufacturing facilities, and, through our Supply Chain Solutions segment, we offer med-surg products from over 1,300 third-party suppliers. We depend on these third-party manufacturers to allocate a portion of their manufacturing capacity sufficient to meet our needs, to produce products of acceptable quality and at acceptable manufacturing yields, and to deliver those</w:t>
      </w:r>
      <w:r>
        <w:rPr>
          <w:color w:val="000000"/>
        </w:rPr>
        <w:t xml:space="preserve"> </w:t>
      </w:r>
      <w:r>
        <w:rPr>
          <w:rFonts w:ascii="Times New Roman;serif" w:hAnsi="Times New Roman;serif"/>
          <w:b w:val="false"/>
          <w:color w:val="000000"/>
          <w:sz w:val="20"/>
        </w:rPr>
        <w:t>products to us on a timely basis and at acceptable prices. However, if these third-party manufacturers are unable to meet our near-term or long-term manufacturing requirements, it could result in lost sales and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95250"/>
                <wp:effectExtent l="0" t="0" r="0" b="0"/>
                <wp:wrapNone/>
                <wp:docPr id="29" name="Frame2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reliance on third parties for regulatory compliance and quality assurance, potential third-party misappropriation of our intellectual property, our limited ability to manage our inventory provided by third parties, the possibility of breach of manufacturing agreements by third parties, the possibility of adverse regulatory action against third parties, and the possibility of termination or nonrenewal of manufacturing agreements by third parties at a time that is costly or inconvenient for us could, among other things, adversely affect our ability to deliver our products on a timely basis, cause us to incur potentially substantial increased costs, or expose us to additional regulatory risk or litigation. Moreover, if any of our third-party manufacturers suffer any damage to facilities, lose benefits under their material agreements, experience power outages, encounter financial difficulties, are unable to secure necessary raw materials from their suppliers or suffer any other reduction in efficiency, experience a force majeure event, or fail to comply with regulatory requirements, we may experience significant business disruption. In the event of any such disruption, we would need to seek and source other qualified third-party manufacturers, likely resulting in further delays and increased costs, which could have a material adverse effect on our business, results of operations, and financial condition. In certain cases we may not be able to identify and enter into arrangements with additional or replacement suppliers or third-party manufacturers in a timely or cost-effective manner, partly as a result of U.S. Food and Drug Administration (“FDA”) and other applicable laws and regulations that require, among other things, qualification and registration of certain suppliers and third-party contract manufacturers, requirements for regulatory clearance, authorization, approval or certification of certain products or components, as well as validation of certain materials, components, and processes prior to their use in or with our products. Seeking and obtaining such clearances, authorizations, approvals or certifications from the FDA and other regulatory authorities is a time-consuming and expensive process. Disruptions at the FDA and other government agencies, including disruptions due to government shutdowns, lapses in appropriations, funding shortages, staffing limitations, changes in policy, or other factors may also delay, prevent, or otherwise adversely affect our ability, or the ability of any of our suppliers or third-party manufacturers to obtain any required , qualifications, clearances, approvals, authorizations or certifications. Such disruptions may also affect the submission of any required or planned filings to FDA and other government agencies (and the ability of FDA and other government agencies to accept such submissions) by us or third parties, which could have a material adverse effect on our business, results of operations, and financial condition.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manufacture certain of our own products and contract manufacture products for others, which requires the availability of labor and the timely delivery of a sufficient amount of quality components and materials from third-party suppliers. For reasons including quality assurance, cost effectiveness, and the highly exacting and complex nature of manufacturing certain of these products, certain components, raw materials, and services needed to manufacture these products are obtained from a limited number of suppliers and have limited availability. Our supplier relationships could be interrupted, become less favorable to us, or be terminated, and the supply of these components, compounds, raw materials, or products could be interrupted or become insufficient.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for quality assurance or cost effectiveness, we have purchased from sole suppliers certain components and raw materials, such as polymers used in our Medline Brand products, and we expect to continue to purchase these components and raw materials from these sole suppliers. Although there are other sources in the marketplace for these items, we may not be able to quickly establish additional or replacement sources for certain components or materials due to regulations and requirements of the FDA, other regulatory authorities, and notified bodies regarding the manufacture of our products. The loss of any sole supplier or any sustained supply interruption or reduction in any manufacturing capabilities or processes that affects the ability to manufacture or distribute our products in a timely or cost-effective manner could have a material adverse effect on our business, results of operations,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95250"/>
                <wp:effectExtent l="0" t="0" r="0" b="0"/>
                <wp:wrapNone/>
                <wp:docPr id="30" name="Frame3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Regulation and Legal Proceedings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rely on the proper function, security, and availability of our information technology systems and data, as well as those of third parties throughout our global supply chain, to operate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on information technology networks and systems to operate our business and securely process, transmit and store any Personal Data, PHI and other sensitive and confidential data in connection with it, which includes our own proprietary applications and tools (e.g., PrefConnect and FitRight Connect) and a wide variety of third-party technologies. Our information technology networks and systems may also require integration with customers’ and other third parties’ systems and networks. We must regularly update and improve our IT systems and infrastructure and undertake investments in new IT systems and infrastructure. We cannot guarantee that our data security controls are sufficient or that the IT systems and infrastructure on which we depend, including those of third parties, will continue to meet our current and future business needs or adequately safeguard our operations. Security interruptions to or breaches, unauthorized access, acquisition, use, disclosure, theft, modification, or destruction of our information technology systems (or those of third parties working on our behalf, or data or Personal Data and PHI held therein), including physical or electronic break-ins, computer viruses, malware, ransomware, phishing, spoofing and other attacks by hackers, and similar breaches, or employee or contractor error, negligence, or malfeasance, have in the past, and may in the future, create system disruptions or shutdowns, result in unauthorized access to, or disclosure, misuse, modification, or loss or destruction of, our or our customers’ (or their members’ and patients’) or employees’ data, or result in damage, disablement, or encryption of our data or our customers’ (or their members and patients’) or employees’ data. Such data may include sensitive data or information, including PHI or other Personal Data. Any such incident that compromises the information of our customers or employees or disrupts our business operations could result in widespread negative publicity, damage to our reputation, a loss of customers, disruption of our business, operational delays, and legal liabilities. We utilize third-party service providers for important aspects of the collection, creation, receipt, maintenance, transmission, use, storage, retention, security, transfer, return, destruction, disclosure, and other operations (separately and collectively, “Processing” or “Process”) of employee and customer (and their members’ and patients’) Personal Data, PHI, and other confidential and sensitive information, and therefore rely on the security procedures of such third-party service providers with respect to such data, and they face the same risks as those set forth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take certain administrative, physical, and technological safeguards to address data security risks, such as by requiring contractors and other third-party service providers who handle PHI, other Personal Data, and other confidential and sensitive information on our behalf to enter into agreements that obligate them to use reasonable efforts to safeguard such PHI, other Personal Data, and other confidential and sensitive information, and to comply with applicable laws regarding their Processing of such PHI and other Personal Data.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Measures taken to protect our systems, those of our contractors or third-party service providers, or the PHI, other Personal Data, or other confidential and sensitive information we, our contractors, or third-party service providers Process, may not adequately protect us from security risks. We have and may in the future be required to expend significant capital and other resources to protect against security breaches or to alleviate problems caused by security breaches, regardless of whether such breaches are of our systems or networks, or the systems or networks of our customers, contractors, or third-party service providers. Any failure to so modify, upgrade, or replace such systems and networks, any disruptions that occur during the process of such modification, upgrade, or replacement and/or any breakdown, interruption, or corruption of our information technology systems and infrastructure could create system disruptions, shutdowns, delays in generating or the corruption or loss of data and information, or other disruptions that could result in negative financial, operational, business, or reputational consequences for us. Despite our implementation of data privacy and security measures, cyberattacks are becoming harder to detect and more frequent in recent years, in part because of the proliferation of new technologies and the increased sophistication and activities of organized crime, hackers, terrorists, activists, malicious state actors, and other internal and external parties. Further, these attacks are becoming increasingly sophisticated through the use of certain AI, automated decision-making and machine learning technology (collectively, “Machine Learning Technology”) and are often well-funded, including in some cases by state sponsors. As a result, we, our customers or our third-party service providers have and may in the future be unable to anticipate the techniques used to attack our or their systems or networks, or to implement adequate protective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95250"/>
                <wp:effectExtent l="0" t="0" r="0" b="0"/>
                <wp:wrapNone/>
                <wp:docPr id="31" name="Frame3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Security breaches, interruptions of systems, or other security incidents that we, our customers or our third-party service providers experience have and could in the future harm our reputation, compel us to comply with breach notification and other laws in all 50 U.S. states, and under applicable provisions of HIPAA, the GDPR and other laws and regulations, expose us to legal and regulatory fines, penalties, and other liabilities, contract and indemnity obligations, and cause us to incur significant costs for investigations and remediation, notification to affected individuals, measures intended to repair or replace systems or technology and prevent future occurrences and potential increases in insurance premiums. If we are unable to prevent or mitigate security breaches, interruptions of systems, or other privacy or security incidents in the future, or to implement satisfactory remedial measures, or if it is perceived that we have been unable to do so, our operations could be disrupted, and we may suffer a loss of customers, reputation, and individual and investor confidence. Affected users (including customers or third parties) or government authorities could initiate legal or regulatory actions against us in connection with any privacy or security breaches or improper disclosures or Processing of data, which could cause us to incur significant expense and liability or result in orders or consent decrees, forcing us to modify our business practices.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if any of our critical suppliers or service providers is the target of a cybersecurity or ransomware attack or experiences any other kind of adverse event impacting relevant information technology systems, we could experience a significant disruption in our supply chain, unauthorized access or use of our information, shortages, disruptions to our financial reporting or other critical business functions, or other adverse consequences impacting our business operations. Notwithstanding the diligence that we perform on our service providers, we may not be in a position to verify the risks or reliability of their information technology systems or privacy and data security practices and protocols. Any such disruption or incident impacting our suppliers or service providers could have a material adverse effect on our business and may result in our incurring significant remediation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we maintain insurance covering certain business interruptions, cybersecurity-related damages and claim expenses, we may not carry insurance or maintain coverage sufficient to compensate for all liability, or all types of liability, or cover any indemnification claims against us relating to any security incident or, breach, disruption in information technology services. In any event, insurance coverage would not address the reputational damage that could result from a security incident. Moreover, we cannot be certain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are subject to extensive and complex laws and governmental regulations and any adverse regulatory action may materially adversely affect our business, results of operations, and financial condition both inside and outside the United States.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products and technologies, as well as our business activities and government contracts, are subject to a complex set of regulations and rigorous enforcement, including by the FDA, the DOJ, HHS Office of the Inspector General, the EPA, and numerous other federal, state, and non-U.S. governmental authorities. To varying degrees, each of these authorities requires us, and our third-party manufacturers, to comply with laws and regulations governing the development, testing, manufacturing, registration, labeling, promotion, and distribution of our products. In particular, our products, marketing, sales and development activities and manufacturing processes are subject to extensive and rigorous regulation by the FDA pursuant to the Federal Food, Drug and Cosmetic Act (“FDCA”), and by comparable agencies and regulatory bodies in foreign countries and other jurisdictions. Under the FDCA, medical devices must receive FDA clearance or approval, or be exempt from requirements for such clearance or approval before they can be commercially marketed in the U.S. In the EU, we are required to comply with the “EU MDR” effective May 2021, which superseded the Medical Device Directives. We cannot guarantee that we will be able to obtain or maintain the required marketing clearances, approvals, authorizations, or certifications to market our new products or for enhancements or modifications to existing products. Obtaining the necessary clearances, approvals, authorizations, or certifications may take a significant amount of time; require the expenditure of substantial resources; and limit the proposed uses of our products. The failure to obtain or maintain clearances, authorizations, and certifications could have a material adverse effect on our business, results of operations, and financial condition. Future laws and regulations may also have a material adverse effect on our business, results of operations, and financial condition. Additionally, significant changes to operations at, funding of, or restructuring of such governmental authorities, including but not limited to a government shutdown, decreases in staff who are able to review product submissions, reductions or other changes in funding provided to such governmental authorities, and changes in policy and enforcement priorities, may adversely affect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95250"/>
                <wp:effectExtent l="0" t="0" r="0" b="0"/>
                <wp:wrapNone/>
                <wp:docPr id="32" name="Frame3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Both before and after a product is commercially marketed, we have responsibilities under the FDCA, the EU MDR and other applicable U.S. and non-U.S. regulations, including with respect to clinical studies, quality systems, manufacturing, imports, and labeling and promotional practices. We may conduct and participate in clinical studies to obtain marketing clearance, approval, authorization, or certification for new products and new indications for, or modifications to, existing products. Unfavorable clinical data from existing or future clinical studies or unfavorable performance evaluations, assessments, and testing may adversely impact our ability to obtain product clearances, approvals, authorizations, and certifications, our position in, and share of, the markets in which we participate, and our business, results of operations, financial condition and cash flows. Our facilities and procedures and those of our suppliers are also subject to periodic inspections by the FDA and other governmental and regulatory authorities and to audits by notified bodies to determine compliance with applicable regulations, including quality system regulations for the design, manufacture, packaging, and servicing of med-surg products. In the United States, the results of these inspections can include, and have in the past included and presently include, notices of inspectional observations (FDA Form 483s), warning letters, or other forms of enforcement.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products may also be subject to Import Alerts that restrict the importation of certain of our products or products manufactured by our suppliers into the United States. For example, in January 2024, the FDA issued Import Alerts restricting the importation of plastic syringes manufactured in China by specific suppliers, which impacted our ability to source Medline Brand syringes. In addition, the FDA has taken the position that medical product manufacturers are prohibited from promoting their products other than for the FDA-approved or FDA-cleared indications for use set forth in the product labeling, otherwise known as “off-label use.” A failure to comply with laws, regulations, or guidelines on labeling and promotion could subject us to enforcement actions, significant civil or criminal legal exposure, administrative obligations and costs, untitled letters, warning letters, and other potential penalties from, or agreements with, the federal government and other governmental and regulatory authorities.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FDA or other federal, state, local, or foreign governmental or regulatory authorities were to conclude that we are not in compliance with applicable laws or regulations, or that any of our products are ineffective or pose an unreasonable health risk, the FDA or these other authorities could determine such products are adulterated or misbranded, detain or seize such products, order a recall, repair, replacement, or refund of such products, refuse to grant pending applications for clearance, approval, authorization, or certification, decline to provide certificates required by non-U.S. governments for exports, require corrective actions, seek an injunction, and/or require us to notify health professionals and others that the products present unreasonable risks of substantial harm to the public health, and in certain rare circumstances, ban such products. The FDA and other governmental or regulatory authorities may also take other actions, including assessing civil or criminal penalties against us, our officers, or our employees and imposing operating restrictions on a company-wide basis. The FDA may also recommend prosecution to the DOJ. In the EU, penalties for regulatory non-compliance could also be severe, including fines, revocation or suspension of a company’s products or quality management system certificates, and criminal sanctions. Any adverse regulatory or other action, including any adverse press releases or other communications from regulators, depending on its magnitude, may require termination of distribution, impose operating restrictions, result in shutdowns or delays in the introduction of products into the market, restrict us from effectively marketing, shipping, and selling our products, and limit our ability to obtain future clearances, approvals, authorizations or certifications, licenses, registrations, or other permits, and could result in a substantial modification to our business practices and operations. Such actions could result in restrictions on our ability to carry on or expand our operations and higher than anticipated costs or lower than anticipated sales. In addition, our inability to address noncompliance issues raised by the FDA and other governmental or regulatory authorities or notified bodies in an effective and timely manner may also cause negative publicity and a loss of customer confidence in us or our current or future products, which may result in the loss of sales and difficulty in successfully launching new products or continuing to market products in our current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we occasionally receive subpoenas or other requests for information from state and federal governmental authorities, which primarily relate to financial arrangements with healthcare professionals, regulatory compliance, and product promotional practices. These investigations may require us to expend extensive resources or time to respond. Any adverse outcome in one or more of these investigations could result in civil and/or criminal proceedings, substantial fines, penalties, and/or administrative remedies, including exclusion from government reimbursement programs, debarment, and/or entry into corporate integrity agreements with governmental authorities. In addition, resolution of any of these matters could involve the imposition of additional, costly compliance obligations. These potential consequences could have a material adverse effect on our business, results of operations, and financial condition.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95250"/>
                <wp:effectExtent l="0" t="0" r="0" b="0"/>
                <wp:wrapNone/>
                <wp:docPr id="33" name="Frame3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Finally, we also have contracts with government entities, which are subject to risks such as lack of funding, a government’s refusal to make payments, and complex legal compliance requirements. For example, government contract purchase obligations are typically subject to the availability of government funding, which may be eliminated, and governments may also refuse to meet purchase obligations. Our government contracts might not be renewed or might be terminated for convenience by the government with little or no prior notice, which could have a material adverse effect on our business, results of operations, and financial condition. Our government contracts are also subject to various government procurement laws and regulations, required contract provisions, and other requirements relating to contract formation, administration and performance. Failure to comply with applicable laws and regulations or with contractual or other requirements may result in monetary damages and criminal or civil penalties as well as termination of our government contracts or our suspension or debarment from government contract work. Additionally, we have experienced requests under certain customer contracts, including certain government contracts, to require a designated amount of the contract to be fulfilled by underrepresented suppliers for goods and services, including minority-owned, women-owned, veteran-owned, or other diversity suppliers (“Diversity Suppliers”). As a result, we may be required to set aside a portion of spend under our contracts for Diversity Suppliers, which may decrease our net sales under such arrangements. Any required adjustments to our efforts, such as modifications in regard to Diversity Suppliers, could increase operational complexity and legal risk. The U.S. federal government may issue updated guidance, reassess existing supervisory frameworks, or pursue enforcement actions via the FCA or other mechanisms or targeted executive enforcement actions based on perceived violations of revised standards. At the same time, some states continue to require affirmative action policies or corporate diversity reporting, adding further complexity. We have also experienced requests under certain commercial and government contracts for conditions related to sustainability or similar requirements, such as information on ethical sourcing or access to our suppliers for social audits, the implementation of environmentally preferable purchasing programs, or product-end-of-life and product circularity. These requirements may lead to increased compliance costs and impact our ability to renew such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are subject to extensive environmental, health, and safety requirements, and our operations involve hazardous and other environmentally sensitive substances.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extensive federal, state, provincial, local, and international environmental, health, and safety requirements concerning, among other things, the health and safety of our employees, the generation, disposal, storage, registration, labeling, reporting, use, and transportation of hazardous and other environmentally sensitive substances (including PFAS), consumer products, emissions or discharges of substances into the environment, investigation and remediation of contamination at various sites, and chemical constituents (including PFAS) in products. Our suppliers are also subject to such requirements, and any failure by, or inability of, our suppliers to comply with such requirements could result in shortages of products or capacity that could impact our operations.</w:t>
      </w:r>
    </w:p>
    <w:p>
      <w:pPr>
        <w:pStyle w:val="TextBody"/>
        <w:bidi w:val="0"/>
        <w:spacing w:lineRule="auto" w:line="28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New environmental, health, and safety laws and regulations, violations of these laws or regulations, stricter enforcement of existing requirements, or the discovery of previously unknown contamination could result in increased costs and other burdens. For example, we and other medical product manufacturers use EtO to sterilize certain medical products we manufacture or distribute. EtO has been the subject of increasing public and regulatory scrutiny because of changes in the assessment of health risks related to EtO emissions. We have made substantial capital expenditures to upgrade emissions controls at certain of our facilities where we expect to continue using EtO. If regulatory measures become more stringent or widespread, we could experience increased costs to comply with more stringent emissions standards, and we and other industry participants may be unable to effectively sterilize medical products, possibly resulting in supply shortages or an industry-wide reduction in surgical or medical procedures, which would negatively impact demand for our products. Likewise, the presence of PFAS in products is also an emerging area of focus by regulators and the public, and we have implemented procedures to comply with evolving regulatory requirements.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certain environmental laws assess liability on current or previous owners or operators of real property or those who have arranged for the disposal or treatment of hazardous and other environmentally sensitive substances for the costs of investigation, removal, or remediation of those substances at their properties or at other locations where those substances have been sent for treatment or disposal. This liability may be imposed regardless of fault, and in many situations may be joint and several, meaning that a liable entity may be held responsible for more than its share of the liability, potentially up to the entire liability, if other responsible entities cannot be found or are unable to respond. In addition to cleanup actions brought by governmental authorities, private parties could bring personal injury or other claims due to the presence of, or exposure to, hazardous substances and other environmentally sensitive materials. The ultimate cost of site cleanup and timing of future cash outflows is difficult to predict, given the uncertainties regarding the extent of the required cleanup and the interpretation of applicable requirements.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95250"/>
                <wp:effectExtent l="0" t="0" r="0" b="0"/>
                <wp:wrapNone/>
                <wp:docPr id="34" name="Frame3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cost of complying with current or future environmental, health and safety requirements, and obligations to investigate and/or remediate environmental conditions currently known or as may be identified or arise in the future and/or to address claims resulting from such conditions, may require material expenditures by us, exceed our estimates, or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failure to comply with anti-corruption laws or trade restrictions, including economic sanctions, could materially adversely affect our business, results of operations, and financial condition and result in civil and/or criminal penalties.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applicable anti-corruption, anti-bribery, and similar laws, such as the FCPA, the U.S. domestic bribery statute in 18 U.S.C. § 201, and similar laws in other jurisdictions in which we operate. Anti-corruption laws generally prohibit companies and intermediaries from corruptly promising, authorizing, making, offering, or providing anything of value to a foreign government official or, in certain instances, commercial counterparties, for the purpose of obtaining or retaining business. These laws may also require companies to implement adequate internal controls, procedures, and certain books and records standards and controls. Our international operations create a risk of unauthorized payments or offers of payments by one of our employees, consultants, sales agents, distributors, channel partners, or other third parties acting on our behalf. Because of the predominance of government-administered healthcare systems in many jurisdictions around the world, many of our customer relationships outside of the United States involve governmental entities, which increases risks under the FCPA and other anti-corruption laws. We also participate in public-private partnerships and other commercial and policy arrangements with governments around the globe, which could be subject to these laws and similarly increase risks under the FCPA and other anti-corruption laws. Global enforcement of anti-corruption laws has increased in recent years, including investigations and enforcement proceedings leading to assessment of significant fines, penalties, and other sanctions against companies and individuals.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are subject to laws and regulations, including governmental export and import controls, that could subject us to liability. Our products are subject to export controls of the jurisdictions in which we operate, including the U.S. Department of Commerce’s Export Administration Regulations. In addition, various governmental authorities, including the United Nations, the EU, the United Kingdom and the United States (including the Office of Foreign Assets Control within the U.S. Department of the Treasury (“OFAC”)) administer and enforce economic sanctions laws and regulations prohibiting persons subject to their jurisdiction from dealing with countries or territories subject to comprehensive sanctions and with certain other designated individuals and entities (collectively, “Sanctions Targets”). Our international operations may expose us, directly or indirectly, to Sanctions Targets. Any future imposition of sanctions by the United States, the EU or any of its member states, the United Kingdom, or any other sanctions authority relevant to our business may reduce the flow of goods from certain of our suppliers or may prevent us, either legally or practically, from engaging in dealings with certain individuals, countries, or jurisdictions.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policies and procedures designed to promote compliance by us and our directors, officers, employees, representatives, consultants, sales agents, distributors, or other third parties with the FCPA, OFAC restrictions, and other applicable laws and regulations related to anti-corruption, economic sanctions, and export controls may not always be effective, and our employees, representatives, consultants, sales agents, or distributors may engage in conduct for which we could be held responsible. Any alleged or actual violations of these laws and regulations may subject us to government scrutiny, significant criminal or civil penalties, or other sanctions and other liabilities, including exclusion from government contracting, as well as related stockholder lawsuits, all of which could disrupt our business, and adversely affect our reputation, business, results of operations, and financial condition. </w:t>
      </w:r>
    </w:p>
    <w:p>
      <w:pPr>
        <w:pStyle w:val="TextBody"/>
        <w:bidi w:val="0"/>
        <w:spacing w:before="0" w:after="0"/>
        <w:ind w:left="0" w:right="0" w:firstLine="49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5250"/>
                <wp:effectExtent l="0" t="0" r="0" b="0"/>
                <wp:wrapNone/>
                <wp:docPr id="35" name="Frame3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are subject to complex and rapidly evolving data privacy, security, and data protection laws and regulations and the costs to comply with such laws and regulations or any ineffective compliance efforts with such laws and regulations may adversely impact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includes the Processing of Personal Data of consumers; Medline applicants, employees, and other workforce members; our customers’ patients, plan members, and employees; our vendors’ employees; and other third parties, as well as PHI, where we meet the definition of a Business Associate (as such term is defined under HIPAA) for certain parts of our business. We maintain PHI that we Processed about Medline’s own patients under certain of our historic offerings. We are directly or, through our customers, indirectly subject to numerous and evolving federal, state, and foreign laws and regulations relating to the Processing of Personal Data and PHI, such as HIPAA, the GDPR, CCPA, and similar data privacy legislation enacted or under consideration by various other U.S. states. Laws and regulations relating to privacy and data protection are continually evolving and subject to potentially differing interpretations and levels of enforcement by various courts and regulators, including in connection with changes in governmental administrations. Compliance with all current and emerging privacy, security and data protection laws, regulations, and requirements, as well as laws that are adjacent (such as the proliferation of new laws and regulations addressing generative AI) to those domains is increasingly difficult.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United States, the FTC is increasingly active in regulating health-related privacy and security. The FTC has taken enforcement actions against companies for statements or promises made about the privacy or security of health information, through Section 5 of the FTCA, which prohibits unfair or deceptive acts or practices, as well as through the HBNR, which applies to certain “personal health record-related entities” or “third party service providers.” We may also be subject to scrutiny by federal and state regulators, partners, and consumers related to our collection, use, and disclosure of consumer Personal Data, including health information. Additionally, federal and state consumer protection laws continue to be applied by FTC and states’ Attorneys General to regulate the collection, use, storage, and disclosure of Personal Data.</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DOJ issued final regulations on bulk U.S. sensitive personal data and government-related data that prohibit or restrict U.S. persons from knowingly directing or engaging in defined classes of transactions that allow persons in “countries of concern” (China, including Hong Kong and Macau, Russia, Iran, North Korea, Cuba, and Venezuela) or those otherwise deemed a “covered person” access to bulk U.S. sensitive personal data and U.S. government-related data. Violations of the regulations can result in civil and criminal penalties. The regulations may further complicate compliance efforts and increase legal risk and compliance costs for us and the third parties upon whom we rely.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state level in the United States, the CCPA added new privacy protections for California residents with respect to certain types of Personal Data, including by introducing new data privacy rights for California residents and establishing a regulatory agency dedicated to enforcing compliance. Various other U.S. states have enacted similar comprehensive consumer data privacy legislation, and several other U.S. states are considering expanding or passing privacy laws in the near term. Further, states such as Washington, Connecticut, and Nevada have recently enacted broadly applicable laws to protect the privacy of personal health information, which generally require regulated entities to obtain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many foreign laws and regulations, including in countries in which we currently operate, govern the Processing of Personal Data. For example, the GDPR imposes requirements for controllers and processors subject to the law with respect to Processing the Personal Data of EU and UK residents. Non-compliance with the GDPR can result in substantial fines and other penalties, required changes to our business practices and reputational harm, any of which could have an adverse effect on our business. </w:t>
      </w:r>
    </w:p>
    <w:p>
      <w:pPr>
        <w:pStyle w:val="TextBody"/>
        <w:bidi w:val="0"/>
        <w:spacing w:before="0" w:after="0"/>
        <w:ind w:left="0" w:right="0" w:firstLine="49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5250"/>
                <wp:effectExtent l="0" t="0" r="0" b="0"/>
                <wp:wrapNone/>
                <wp:docPr id="36" name="Frame3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a privacy or security incident or claim that we, a service provider, a third party with which we do business, or a hacker or other third party with authorized or unauthorized access to our data has violated applicable privacy or security laws and regulations, we may be subject to regulatory or legal action. A data breach or any allegations of a failure to comply with such privacy or security laws by us or our service providers or other third parties working on our behalf could result in reputational damage, adverse publicity, loss of consumer confidence, reduced sales and profits, complications in executing our growth initiatives, and regulatory and legal risk, including enforcement actions, regulatory investigations, fines and penalties, and in some cases, civil liabilities where individuals have been provided with a private right of action, all of which could materially and adversely affect the results of our operations, financial performance, and business, as well as have a negative impact on business reputation and performance. In addition, we could be required to modify our activities, processes, solutions and services as a result of any enforcement actions or remediation efforts, which could have an adverse effect on our business, results of operations or financial condition. If laws or regulations are changed or expanded, or if governing jurisdictions interpret or implement laws or regulations in new ways it could require changes in our business practices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use or our third-party service providers’ or business partners’ use of AI, automated decision-making and machine learning technologies and the evolving regulatory framework in this area may subject us to risks or heightened costs that could adversely affect business, results of operation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use Machine Learning Technology in connection with our business activities to realize operating efficiencies. Notwithstanding our policies and related personnel training governing use of Machine Learning Technology, our personnel, affiliates, or other third parties working with us or on our behalf could utilize Machine Learning Technology in contravention of such policies, including in ways that could subject us to potential liabilities. We could be further exposed to the risks of Machine Learning Technology if third-party service providers or any other counterparties with whom we interact, whether or not known to us, also use Machine Learning Technology in their business activities. Machine Learning Technology and its current and potential future applications, as well as the legal and regulatory frameworks within which it operates, continue to rapidly evolve. As such, it is not possible to predict the full extent of the current or future risks related to Machine Learning Technology. Independent of its context of use, 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or result in a degree of bias, inaccuracy and error-potentially materially so-and could otherwise be inadequate or flawed, which would be likely to degrade the effectiveness of Machine Learning Technology and the reliability and accuracy of its output. To the extent that we rely on or use the output of Machine Learning Technology, any such inaccuracies, biases or errors could have adverse impacts on us, our business, our results of operations or financial condition. Additionally, the volume of and reliance on data and algorithms also make Machine Learning Technology, and in turn us, more susceptible to cybersecurity threats.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could be exposed to risks to the extent third-party service providers or any counterparties use Machine Learning Technology in their business activities, notwithstanding any preventative policies aimed at restricting or governing the use of such technologies. We are not able to control the way third-party products are developed, trained or maintained or the way third-party services utilizing Machine Learning Technology are provided to us. Use of Machine Learning Technology could include the input of our confidential information (including confidential information and Personal Data) by third parties in contravention of non-disclosure agreements or by our personnel or other related parties in contravention of our policies and procedures and, in each case, could result in such confidential or personal information becoming part of a dataset that is generally accessible by Machine Learning Technology applications and users. The misuse or misappropriation of our data or information of our customers could have an adverse impact on our reputation and could subject us to legal and regulatory investigations and/or actions.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Moreover, some customers may impose their own restrictions on our use of Machine Learning Technology in our performance of services under a contract. While we generally resist any broad restrictions by customers related to our use of Machine Learning Technology, we may be subject to certain restrictions that could create redundancies in systems that omit Machine Learning Technology, which may be costly and inefficient.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5250"/>
                <wp:effectExtent l="0" t="0" r="0" b="0"/>
                <wp:wrapNone/>
                <wp:docPr id="37" name="Frame3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recent years, the use of Machine Learning Technology has come under increased regulatory scrutiny, especially in the case of generative AI and related developments, due to the potential harm to individuals where Personal Data or intellectual property is processed or where models are trained on vast data sets that include Personal Data or intellectual property. For example, various U.S. states are in the process of enacting (or have already enacted) new laws and regulations that are aimed at providing individuals with additional protections in connection with Machine Learning Technology. Moreover, the FDA has issued draft guidance documents and other publications setting forth the FDA’s current thinking with respect to the use and regulation of AI and Machine Learning Technology in the development medical device software and drug products, but has yet to finalize such guidance documents or otherwise propose rules and regulations that would more specifically address the use of AI technologies in medical device products. As a result, the regulatory guidance provided with respect to the use of AI technologies has been limited.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U.S. regulatory framework, the EU has recently introduced a new regulation applicable to certain Machine Learning Technology and the data used to train, test and deploy them (the “EU AI Act”). The EU AI Act entered into force on August 1, 2024, with its obligations set to apply in phases from six to 36 months thereafter. The EU AI Act applies on an extraterritorial basis and will impose significant requirements on both the providers and deployers of Machine Learning Technology, with violations punishable by sanctions of up to 7% of annual worldwide revenue or EUR 35 million (whichever is higher) for the most serious breaches. Any actual or perceived failure to comply with evolving regulatory frameworks around the development and use of Machine Learning Technology could adversely affect our business, results of operations and financial condition. New laws, regulations, executive orders, guidance and decisions in this area may limit our ability to use Machine Learning Technology or require us to make changes to our operations that may decrease our operational efficiency, result in an increase to operating costs, and hinder our ability to develop and introduce new products or otherwise improve our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tax laws change or we experience adverse outcomes resulting from examination of our tax returns or disagreements with taxing authorities, it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tax in the United States and in certain foreign jurisdictions in which we operate. The United States and many countries in Europe, as well as a number of other countries and organizations, have recently proposed or recommended changes to existing tax laws or have enacted new laws that could significantly increase our tax obligations in many countries where we do business, or require us to change the manner in which we operate our business. For example, in August 2022, the Inflation Reduction Act (the “IRA”) was signed into law. The IRA, among other things, includes a new 15% corporate minimum tax as well as a 1% excise tax on corporate stock repurchases, subject to certain exceptions. In addition, in July 2025, the One Big Beautiful Bill Act (the “OBBBA”) was signed into law. The OBBBA introduced significant changes to numerous areas of U.S. federal income tax law, including permanency of certain provisions in the 2017 Tax Cuts and Jobs Act, and changes to R&amp;D expensing, bonus depreciation, and international tax provisions. Other developments include certain proposals by the Organization for Economic Co-operation and Development arising from its Base Erosion and Profit Shifting project and the implementation of the global minimum tax under the Pillar Two model rules. The application and interpretation of these laws in different jurisdictions affect our operations in complex ways and are subject to change, and some changes may be retroactively applied. Additional guidance with respect to any of these rules or other changes in tax law could materially affect our financial position, tax obligations, and effective tax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are subject to the examination of our income and other tax returns by the United States Internal Revenue Service (the “IRS”)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5250"/>
                <wp:effectExtent l="0" t="0" r="0" b="0"/>
                <wp:wrapNone/>
                <wp:docPr id="38" name="Frame3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become subject to litigation brought by third parties claiming infringement, misappropriation, or other violation by us of their intellectual property rights.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avoiding infringement, misappropriation, or other violations of the intellectual property of third parties. However, we cannot be certain that our products and technologies and the conduct of our business does not and will not infringe, misappropriate, or otherwise violate the intellectual property rights of others or be alleged to do same. Any claim that we, or consultants, customers or other third parties retained or indemnified by us, have violated the intellectual property of third parties, with or without merit, and whether or not it results in litigation, is settled out of court or is determined in our favor, could be time consuming and costly to address and resolve, and could divert the time and attention of management and technical personnel from our business. Our liability insurance may not cover potential claims of this type adequately or at all. We also may have to seek third-party licenses to intellectual property, which may be unavailable, require payment of significant royalties, or be available only at commercially unreasonable, unfavorable, or otherwise unacceptable terms. In the event of a settlement or adverse judgment, our results of operations may materially decline if we are prohibited from using intellectual property that is material to the operation of our business.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 Any of these events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Climate change or legal, regulatory or market measures to address climate change may negatively affect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physical impacts of climate change, including increased frequency and severity of natural disasters, sea levels rising, and extreme temperatures, may pose physical risks to our facilities and/or operations, and/or disrupt our supply chain. For example, storm activity in Nuevo Laredo, Mexico in 2021 caused damage to our facilities and temporarily disrupted our operations in the region, and similar climate events could adversely affect our business, results of operations, and financial condition in the future. Our transition risks, which are risks associated with the transition towards a low-carbon economy, may include mass climate-related migration and shifting demand for our products and decreased availability or less favorable pricing for water and other critical raw materials or energy, which could impact our manufacturing and distribution operations and the competitiveness of our products. While shifting needs can create opportunities in new markets or for new products, failure to adapt to these changed circumstances can also pose potential business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could be affected by current and future local, state, federal, and international laws, regulations, treaties, agreements, and policies related to greenhouse gas emissions and climate change. Some existing laws and regulations to reduce greenhouse gas emissions include controls, carbon levies, cap and trade programs and/or other measures, and additional regulation of such emissions is likely. More stringent interpretation of existing laws or regulations, as well as future laws or regulations in response to concerns over climate change, could require us and/or our suppliers to take action to reduce emissions of greenhouse gases or incur costs to obtain allowances or credits for our emissions. As a result, the costs and restrictions associated with sourcing, manufacturing, and distributing our products could significantly increase, which may adversely affect our business, results of operations, and financial condition. Further, the impacts of climate change may influence customer preferences, including driving customers to seek products that are low carbon or have other sustainability characteristics, and failure to provide products that anticipate or adequately respond to these changes in preference could damage our reputation and result in loss of market share.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5250"/>
                <wp:effectExtent l="0" t="0" r="0" b="0"/>
                <wp:wrapNone/>
                <wp:docPr id="39" name="Frame3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increasing focus on ESG and sustainability matters or the failure or perceived failure to meet our ESG and sustainability goals may increase our costs, harm our reputation or adversely affect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Companies are facing increasing scrutiny from investors, customers, patients, consumers, employees, proxy advisory firms, nongovernmental organizations, and other stakeholders related to environmental, social, and governance (“ESG”) matters, including governance practices and with respect to environmental and social sustainability–related efforts and belonging initiatives. We may experience pressure to make commitments relating to ESG matters that affect our business or industry, including strategic risk mitigation initiatives relating to sustainability. Expectations regarding the management of ESG initiatives continue to rapidly evolve. Moreover, in recent years “anti-ESG” and “anti–diversity, equity, and inclusion” sentiments have gained momentum across the United States, with several dozen states, the U.S. Congress, and the U.S. Executive Branch having proposed or enacted “anti-ESG” or “anti–diversity, equity, and inclusion” policies, legislation, executive orders or initiatives, or issued related legal opinions. Further, we may from time to time engage in various efforts, including setting policies and goals or making voluntary or required statements and disclosures. The policies, goals, statements, and disclosures reflect our current circumstances, plans, and aspirations at the time they are made. Our efforts to accomplish and accurately report on our efforts and goals are subject to a number of factors, many of which are outside of our control, including economic conditions, our ability to implement certain types of technology, the costs of implementing aspirational changes, our ability to offer our products and services at competitive market rates to meet customer and consumer expectations, unforeseen operational and implementation challenges, and collaboration with third parties. Our expectations and assumptions are necessarily uncertain and may be prone to error or subject to misinterpretation given the long timelines involved and the lack of an established, singular approach to identifying, measuring and reporting on many ESG matters. We may also be required to expend significant resources to meet our goals, which could increase our operational costs. We may also determine that it is in the best interest of our Company and our stockholders to prioritize other business, social, governance, or sustainable investments over the achievement of our current goals based on economic, technological developments, regulatory and social factors, business strategy, or pressure from investors, activist groups, or other stakeholders. Additionally, our current ESG practices may not comply with future stakeholder expectations, reporting frameworks, regulatory requirements, or best practices. If we are not effective in addressing ESG matters important to our stakeholders, or setting, reporting and meeting relevant ESG goals in a timely manner, our reputation, attractiveness as an investment, business partner, or acquiror, access to and costs of capital, financial results, and stock price may suffer. If our sustainability practices do not meet evolving stakeholders’ expectations and standards, or if we are unable to satisfy all stakeholders, our reputation, ability to attract or retain employees, financial condition, results of operations, and cash flows could be negatively impacted. In addition, even if we are effective at addressing ESG and sustainability matters, we may experience increased costs to execute upon these goals that may not be offset by any benefit to our reputation, which could have an adverse impact on our business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are involved in legal proceedings and disputes, which could adversely impact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routinely party to a number of lawsuits, settlement discussions, mediations, arbitrations, demands, investigations, and other disputes, including those related to commercial matters and contracts, personal injury and product liability, state and federal labor and employment (including healthcare benefits and discrimination), healthcare regulation, intellectual property, import and export regulations, environmental matters (such as PFAS purportedly found in products and EtO emissions), tax, real property, privacy, and our trucking operations. These current and future matters require us to dedicate significant internal and external resources and costs to respond and comply, and may result in substantial monetary damages or penalties; harm our reputation; require us to pay additional wages, insurance expenses, and payroll-related taxes or sizeable statutory penalties; cause us to lose patent protection or tax benefits; require us to revise or restate our financial statements; divert our management’s time, attention, and resources; or otherwise adversely affect our sales and business. In addition, we may be required to redesign, re-label, restrict, or recall products; cease manufacturing and selling products; comply with a court injunction restricting or prohibiting further marketing and sale of products or services; or comply with a consent decree, which could result in further regulatory constraints, or we may be subject to the seizure of our product inventory or determine that certain products in our inventory should no longer be shipped as a result of regulatory requests or actions or safety or other issues. Even claims without merit could subject us to adverse publicity, harm our reputation, require us to incur significant legal fees, or cause us to modify our pay or other practices. Any of these events could have a material adverse effect on our business, results of operations, financial condition, cash flows, and profitability. In addition, even if we believe we have meritorious defenses, from time to time we may engage in settlement discussions and mediation. In considering settlements, we take into account various factors, including developments in pending legal proceedings and the related risks and uncertainties.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5250"/>
                <wp:effectExtent l="0" t="0" r="0" b="0"/>
                <wp:wrapNone/>
                <wp:docPr id="40" name="Frame4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reserves we establish for estimated losses with respect to these matters represent our estimate of the probable loss at the time the reserve is established, to the extent future losses are probable and reasonably estimable. This involves judgment and may not reflect the full range of uncertainties and unpredictable outcomes. Additional reserves may be established or current reserves may be significantly increased from time to time. Until the final resolution of a matter, we may be exposed to losses in excess of the amount recorded, and such amounts could be material. In addition, any settlements we enter may be confidential and could be significant and result in charges in excess of accruals. If any of our estimates and assumptions change or prove to have been incorrect, it could have a material effect on our business, consolidated financial position, results of operations, or cash flows.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failure to comply with laws and regulations relating to reimbursement of healthcare goods and services may subject us to penalties and adversely impact our reputation, business, results of operations, financial condition, and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ability of our customers to obtain appropriate reimbursement for products and services from third-party payers is critical because it affects which products customers purchase and the prices they are willing to pay. Our products are purchased principally by hospitals or healthcare professionals that typically seek reimbursement from various third-party payers, such as governmental healthcare programs (e.g., Medicare, Medicaid, TRICARE, and comparable non-U.S. programs), private insurance plans, and managed care plans for the healthcare services provided to their patients. As a result, our products are subject to laws and regulations enforced by governmental and regulatory authorities, including HHS, CMS, the DOJ, and state and non-U.S. agencies responsible for reimbursement and regulation of healthcare goods and services. These laws and regulations address fair competition, kickbacks, false claims, self-referrals, and healthcare fraud and abuse (e.g., the FCA, the AKS, the Civil Monetary Penalties Statute, HIPAA, and the Physician Payments Sunshine Act). See Part I, “Item 1—Business—Government Regulation—Healthcare Fraud and Abuse Laws and Regulations.” Many jurisdictions have similar laws that apply to reimbursement by state Medicaid or other funded programs and all payers, and require transparency in interactions with and payments, or other transfers of value, to healthcare professionals.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relationships that we, and third parties that market and/or sell our products, have with healthcare facilities and professionals are subject to scrutiny under these and other federal, state, and foreign laws. For example, we are engaged in giving discounts within the meaning of the AKS, which prohibits knowingly and willfully offering, paying, soliciting, or receiving any remuneration to induce or reward, or in return for the referral of an individual for, or the purchasing, ordering, or recommending of items or services, for which payment may be made in whole or in part by Medicare, Medicaid, or other federally funded healthcare programs. Under the AKS, there are exceptions for, among other things, properly reported discounts which includes the payment of rebates, and payments of certain administrative fees to GPOs. AKS regulations contain enumerated safe harbors that implement and further refine the statutory exceptions for discounts and payments to GPOs. Engaging in a business practice for which there is an AKS safe harbor may be regarded as suspect if the practice fails to meet each of the prescribed criteria of the appropriate safe harbor, even if such arrangement is lawful. Such arrangements may be subject to greater scrutiny by enforcement agencies.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internal policies, procedures, training, and monitoring to help ensure our arrangements comply with applicable fraud and abuse laws and other laws and regulations relating to reimbursement of healthcare goods and services. However, governmental officials responsible for enforcing these laws or whistleblowers may assert that we are in violation of them.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Medicaid, and TRICARE, integrity oversight and reporting obligations, or reputational harm, any of which could adversely affect our financial results. In certain circumstances, insurance companies may also attempt to bring a private cause of action against us for causing the submission of false claims.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5250"/>
                <wp:effectExtent l="0" t="0" r="0" b="0"/>
                <wp:wrapNone/>
                <wp:docPr id="41" name="Frame4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risks relating to changes in government and private healthcare reimbursement programs and policies, and changes in legal and regulatory requirements in the United States and around the world. Implementation of further legislative or administrative reforms to these reimbursement systems, adverse judicial decisions related to these reimbursement systems, or adverse decisions relating to coverage of or reimbursement for our products by administrators of these systems could have an impact on the acceptance of and demand for our products and the prices that our customers are willing to pay for them.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also directly submitted claims to governmental healthcare programs as a Medicare-enrolled DMEPOS supplier. As a result, we have been and from time to time are subject to audits by government healthcare programs and third-party payers related to such claims, which may require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insurance program may not cover claims brought against us, deny coverage of claims, or be inadequate to cover future losses.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third-party insurance to cover our exposure to certain property and casualty losses and are self-insured for certain retentions, claims, and expenses related to other property and casualty losses, including product liability, environmental, and cybersecurity and data privacy losses. Settlement or judgements of claims brought against us may not be covered by insurance or, if covered, our claim may be denied or subject to insurance coverage limits provided by third-party insurers that are insufficient to fully cover unanticipated losses. We are actively pursuing litigation with our excess insurance carriers related to their obligations to reimburse such payments, but we may not be able to obtain reimbursements sufficient to cover our settlement obligations. For example, in connection with the settlement of tort lawsuits related to emissions of EtO from our facility in Waukegan, Illinois, our excess insurance carriers have denied coverage with respect to our settlement payments. As a result of various litigation matters, we recognized $33 million of net litigation gains for the year ended December 31, 2025. See Risk Factors “—We are involved in legal proceedings and disputes, which could adversely impact our business, results of operations, and financial condition” and Note 13—Commitments and Contingencies to our audited consolidated financial statements included under Part II, “Item 8—Financial Statements and Supplementary Data” of this Annual Report.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Litigation brought against us, regardless of its merits, could be costly to defend and could result in increases of our insurance premiums and exhaust any insurance coverage that we may have. The financial impact of such litigation is difficult to assess or quantify but could adversely affect our business, results of operations, and financial condition. Even where the claim should be covered by insurance, we have significant self-insured retention amounts, which we would have to pay in full before obtaining any insurance proceeds. Product liability insurance for these types of claims is becoming more limited and may not be available to us at amounts that we historically have obtained or that we would like to obtain.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Any failure to obtain, maintain, protect and enforce our intellectual property rights, or the failure of the strength or scope of our intellectual property rights, could harm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combination of patents, trademarks for our material brands (e.g., Medline, Curad, Microtek, Hudson, and Proxima), copyrights, trade secrets, and other intellectual property rights in the United States and other countries, as well as agreements (such as employee, customer, non-disclosure, and non-competition agreements) to protect our intellectual property and proprietary rights. We may, over time, increase our investment in formal registrations for additional intellectual property, including through additional patent and trademark and registrations. Effective intellectual property protection is expensive to develop and maintain, both in terms of initial registration and ongoing renewal and maintenance requirements and the costs of defending and asserting our rights. </w:t>
      </w:r>
    </w:p>
    <w:p>
      <w:pPr>
        <w:pStyle w:val="TextBody"/>
        <w:bidi w:val="0"/>
        <w:spacing w:before="0" w:after="0"/>
        <w:ind w:left="0" w:right="0" w:firstLine="49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5250"/>
                <wp:effectExtent l="0" t="0" r="0" b="0"/>
                <wp:wrapNone/>
                <wp:docPr id="42" name="Frame4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Others may infringe our trademarks or other intellectual property, independently develop similar manufacturing processes and technology, duplicate any of our manufacturing processes, technology or services, or design around our intellectual property to avoid any infringement. The measures we take to obtain, maintain, protect, and enforce our intellectual property, including litigation, could cause us to expend significant cost and time, may distract management and may not be sufficient to detect, prevent, or enforce infringement, misappropriation, or other violation. Effective intellectual property protection may not be available in every country in which we offer our products and services now or in the future or may not protect them to the same extent as the laws of the United States. Any changes in, or unexpected court interpretations of, intellectual property laws may compromise our ability to enforce our patent, trademark, trade secret, and other intellectual property rights. Further, our intellectual property rights may be challenged, or our efforts to enforce them may be met with defenses, counterclaims and countersuits attacking their validity and enforceability that, if successful, could weaken, invalidate, or render them unenforceable.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protect our intellectual property, particularly our patents, brands, and know-how, our intellectual property may be impaired, we may lose a portion of our intellectual property and our image, brand, competitive position, and business could be harmed. Moreover, our failure to develop and properly manage new intellectual property could hurt our market position and business opportunities. All of these could have a material adverse effect on our business, financial condition, and results of operations.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Financial and Economic Market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Foreign currency exchange rate fluctuations could have a significant impact on our results of operations.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operate in various international markets, including Canada, Mexico, Europe, and the Asia Pacific region, with more significant manufacturing operations in Mexico. For the year ended December</w:t>
      </w:r>
      <w:r>
        <w:rPr>
          <w:color w:val="000000"/>
          <w:shd w:fill="FFFFFF" w:val="clear"/>
        </w:rPr>
        <w:t xml:space="preserve"> </w:t>
      </w:r>
      <w:r>
        <w:rPr>
          <w:rFonts w:ascii="Times New Roman;serif" w:hAnsi="Times New Roman;serif"/>
          <w:b w:val="false"/>
          <w:color w:val="000000"/>
          <w:sz w:val="20"/>
          <w:shd w:fill="FFFFFF" w:val="clear"/>
        </w:rPr>
        <w:t xml:space="preserve">31, 2025, 6.7% of our total net sales and </w:t>
      </w:r>
      <w:r>
        <w:rPr>
          <w:rFonts w:ascii="Times New Roman;serif" w:hAnsi="Times New Roman;serif"/>
          <w:b w:val="false"/>
          <w:color w:val="000000"/>
          <w:sz w:val="20"/>
        </w:rPr>
        <w:t>8.0% of our total expenses related to operations were in currencies other than U.S. dollars, with the majority of our international spend exposed to the euro, Canadian dollar, and Mexican peso. The results of operations of, and certain of our intercompany balances associated with, our international service offerings are exposed to foreign currency exchange rate fluctuations. Upon translation into U.S. dollars, our results of operations may differ materially from expectations, and we may record significant gains or losses on the remeasurement of intercompany balances. As we have expanded our international operations, our exposure to foreign currency exchange rate fluctuations has increased. We hold cash equivalents and marketable securities in foreign currencies including the pound and euros. If the U.S. dollar strengthens compared to these currencies, our cash equivalents and marketable securities balances, when translated, may be materially less than expected and vice versa. Furthermore, we purchase certain of these commodities in currencies other than U.S. dollars and fluctuations in the exchange rate between those currencies and the U.S. dollar may increase our costs. We are also subject to risks due to fluctuations in foreign exchange rates on certain supplies and raw materials that we purchase when negotiating contract renewals. We do not currently have in place any foreign currency exchange rate hedges, and fluctuations in foreign currency exchange rates could have a significant impact on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profitability and cash flows may be adversely affected by inflationary pressures.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Inflation has had, and may continue to have, a material impact on the cost to source materials or produce and distribute finished goods to customers. We may not be able to pass these elevated costs on to customers due to contractual or regulatory limits on pricing or customer pressure to reduce costs. To the extent we are able to take pricing actions, there may be a difference between the timing of when we take such actions and the impact of those actions on our results of operations. Additionally, the pricing actions we take may negatively impact our market share. Our failure to effectively assess, timely change and properly set pricing, make price adjustments, or impose surcharges may negatively impact our ability to achieve our pricing objectives. For example, in 2022, we experienced a significant increase in the cost of raw materials and components used to manufacture our products and in the cost of products manufactured by third parties. While certain of these cost increases were passed on to customers, we were required to absorb a large portion of the cost increases due to the existing pricing arrangements. In the event the increase in our costs outpaces the compensating rate increases we may receive, or if we are unable to pass on all or part of our cost increases to our customers through price adjustments and/or surcharges, our profitability and cash flows may be adversely affected.</w:t>
      </w:r>
    </w:p>
    <w:p>
      <w:pPr>
        <w:pStyle w:val="TextBody"/>
        <w:bidi w:val="0"/>
        <w:spacing w:before="0" w:after="0"/>
        <w:ind w:left="0" w:right="0" w:firstLine="49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5250"/>
                <wp:effectExtent l="0" t="0" r="0" b="0"/>
                <wp:wrapNone/>
                <wp:docPr id="43" name="Frame4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Uncertain global and domestic macro-economic and political conditions could materially adversely affect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Uncertain global and domestic macro-economic and political conditions that affect the economy and the economic outlook of the United States, Europe, Asia and other parts of the world where we do business or source raw materials could materially adversely affect our business, results of operations, and financial condition. These uncertainties include, among other things: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to laws and policies governing foreign trade (including, without limitation, the United States-Mexico-Canada Agreement, the EU-UK Trade and Cooperation Agreement of December 2020, and other international trade agreements);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greater restrictions on imports and exports;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tariffs, sanctions, or other protectionist measures;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to, including further deterioration of, the relationship between the United States and China;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sovereign debt levels;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consumer confidence;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unemployment levels (and a corresponding increase in the uninsured and underinsured population);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employment laws and regulations;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interest rate fluctuations and strengthening of the dollar, which have and will continue to impact our results of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availability of capital;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increases in fuel and energy costs;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 of inflation on our ability to procure products and our ability to increase prices over time and pass through to our customers price increases we may receive;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tax rates and the availability of certain tax deductions;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increases in labor costs or healthcare costs;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threat or outbreak of war, terrorism, or public unrest (including, without limitation, the ongoing conflicts in Ukraine and the Middle East);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laws and policies governing manufacturing, development and investment in territories and countries where we do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U.S. government has implemented or announced significant new tariffs on products manufactured in a wide range of countries outside the United States, including China, Mexico, and countries in Southeast Asia. These actions have prompted a cycle of retaliatory tariffs and potential retaliatory tariffs by a number of these countries and the United States. While certain of these announced tariffs have been delayed, a number of new tariffs remain in effect, and the U.S. government may in the future impose, reimpose, increase, or pause tariffs, and countries subject to such tariffs have imposed, and in the future may impose, reciprocal tariffs or other protectionist or retaliatory trade measures in response. The imposition of tariffs and other trade restrictions, as well as the escalation of trade disputes and any resulting downturns in the global economy, has and could continue to materially and adversely affect our business, financial condition, and results of operations. The extent and duration of the tariffs and other trade restrictions and the resulting impact on general economic conditions and on our business are uncertain and depend on various factors, such as negotiations involving the United States and other countries, the responses of other countries or regions, exemptions or exclusions that may be granted, availability and cost of alternative sources of supply, and demand for our products in affected markets. Furthermore, actions we take to adapt to new tariffs or other trade restrictions may cause us to modify our operations, which could be time-consuming and expensive; impact pricing of our products, which could impact our sales and profitability; or cause us to forgo business opportunities. </w:t>
      </w:r>
    </w:p>
    <w:p>
      <w:pPr>
        <w:pStyle w:val="TextBody"/>
        <w:bidi w:val="0"/>
        <w:spacing w:before="0" w:after="0"/>
        <w:ind w:left="0" w:right="0" w:firstLine="49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5250"/>
                <wp:effectExtent l="0" t="0" r="0" b="0"/>
                <wp:wrapNone/>
                <wp:docPr id="44" name="Frame4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 geopolitical conflicts, including the ongoing conflicts in Ukraine and the Middle East, could lead to significant economic downturns and market and other disruptions, including volatility in the capital markets, economic instability, increases in inflation, increased fuel prices, supply chain constraints and disruptions, political and social instability, and economic sanctions, all of which may adversely impact us and the healthcare industry as a whole, particularly if the conflicts occur in areas in which we have a significant concentration of suppliers or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changes in government, government debt, and/or budget crises may lead to reductions in government spending in certain countries, which could reduce overall healthcare spending, and/or higher income or corporate taxes, which could depress spending overall. Recessionary or inflationary conditions and depressed levels of consumer and commercial spending may also cause customers to reduce, modify, delay, or cancel plans to purchase our products and may cause suppliers to reduce their output or change their terms of sale. Additionally, if customers’ cash flow or operating and financial performance deteriorate, or if they are unable to make scheduled payments or obtain credit, they may not be able to, or may delay, payment to us. Likewise, for similar reasons suppliers may restrict credit or impose different payment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manufacturing business is exposed to price fluctuations of key commodities, which may negatively impact our results of operations and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manufacturing business relies on product inputs, such as oil-based resins, pulp, cotton, nitrile, and vinyl, as well as other commodities, in the manufacture of its products. Prices of these commodities are volatile and have fluctuated in recent years, which may contribute to fluctuations in our results of operations. We do not currently engage in any hedging activities with respect to commodities. Prices of oil and gas also affect our distribution and transportation costs. Furthermore, due to competitive dynamics and contractual limitations, we may be unable to pass along commodity-driven cost increases through higher prices. If we cannot fully offset cost increases through other cost reductions, or recover these costs through price increases or surcharges, we could experience lower margins and profitability, which could have a material adverse effect on our business, results of operations, financial condition, and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Our Indebtedness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substantial amount of debt and are permitted to incur a substantial amount of additional indebtedness, including secured debt, to finance working capital, capital expenditures, investments, or acquisitions, or for other purposes. See Part II, “Item 7—Management’s Discussion and Analysis of Financial Condition and Results of Operations—Liquidity and Capital Resources—Indebtedness.” Our existing debt could have important consequences, the risks of which may increase if we incur any additional debt, including: </w:t>
      </w:r>
    </w:p>
    <w:p>
      <w:pPr>
        <w:pStyle w:val="TextBody"/>
        <w:bidi w:val="0"/>
        <w:spacing w:before="0" w:after="0"/>
        <w:ind w:left="0" w:right="0" w:firstLine="49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making it difficult for us to satisfy our obligations, including debt service requirements under our outstanding debt;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limiting our ability to obtain additional financing for working capital, capital expenditures, debt service requirements, acquisitions, or other general corporate purposes;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requiring a substantial portion of cash flow from operations to be dedicated to the payment of principal and interest on our indebtedness, therefore reducing our ability to use our cash flow to fund our operations, capital expenditures, future business opportunities, and other purposes;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increasing our vulnerability to economic downturns and adverse industry conditions and our flexibility to plan for, or react to, changes in our business or industry is more limited;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restricting our ability to capitalize on business opportunities and react to competitive pressures compared to our competitors who are not as highly leveraged, including due to the restrictive covenants in the Credit Agreement (as defined herein) that governs the Senior Secured Credit Facilities (as defined herein) and the indentures that govern the Senior Notes (as defined herein);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limiting our ability to borrow additional funds or to refinance debt on favorable terms or at all;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causing potential or existing customers or vendors to not contract with us due to concerns over our ability to meet our financial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5250"/>
                <wp:effectExtent l="0" t="0" r="0" b="0"/>
                <wp:wrapNone/>
                <wp:docPr id="45" name="Frame4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holding company, and our consolidated assets are owned by, and our business is conducted through, our subsidiaries. Revenue from these subsidiaries is our primary source of funds for debt payments and operating expenses. If our subsidiaries are restricted from making distributions to us, our ability to meet our debt service obligations or otherwise fund our operations may be impaired. Moreover, there may be restrictions on payments by subsidiaries to their parent companies under applicable laws, including laws that require companies to maintain minimum amounts of capital and to make payments to stockholders only from profits. As a result, although a subsidiary of ours may have cash, we may not be able to obtain that cash to satisfy our obligation to service our outstanding debt or fund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make scheduled payments on and refinance our indebtedness is subject to our financial and operating performance, which in turn is affected by general and regional economic, financial, competitive, business, and other factors, all of which are beyond our control, including the availability of financing in the international banking and capital markets. Our business may not generate sufficient cash flow from operations or future borrowings may not be available to us in an amount sufficient to enable us to service our debt, to refinance our debt, or to fund our other liquidity needs. Any refinancing or restructuring of our indebtedness could be at higher interest rates and may require us to comply with more onerous covenants that could further restrict our business operations. Moreover, in the event of a default, the holders of our indebtedness could elect to declare such indebtedness be due and payable and/or elect to exercise other rights, such as the lenders under our Credit Agreement (as defined herein) terminating their commitments thereunder and ceasing to make further loans or the lenders under our Senior Secured Credit Facilities instituting foreclosure proceedings against their collateral, any of which could materially adversely affect our results of operations and financial condition.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debt under our Senior Secured Credit Facilities bears interest at variable rates. In recent years, we have experienced higher interest expense on our credit facilities due to interest rate increases, and if interest rates were to increase, our debt service obligations on our credit facilities would further increase, even though the amount borrowed remained the same, especially if our hedging strategies do not effectively mitigate the effects of these increases, and our net income and cash flows, including cash available for servicing our indebtedness, would correspondingly decrease.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we amended the credit agreement governing our Senior Secured Credit Facilities in order to transition our dollar-denominated Senior Secured Credit Facilities to the use of the Secured Overnight Financing Rate (“SOFR”) as a replacement for the London Interbank Offered Rate (“LIBOR”). The composition and characteristics of SOFR are not the same as those of LIBOR. As a result, SOFR or any alternative reference rate may not perform in the same way as LIBOR would have at any time, including, without limitation, as a result of changes in interest and yield rates in the market, market volatility, or global or regional economic, financial, political, regulatory, judicial, or other events. Although SOFR plus a spread adjustment appears to be the preferred replacement rate for U.S. dollar LIBOR, and its use continues to steadily grow, at this time it is not possible to predict the effect of any such changes, any establishment of alternative reference rates, or other reforms to LIBOR that may be enacted in the United States, United Kingdom, or elsewhere. With limited operating history, it remains unknown whether SOFR will continue to evolve and what the effects of its implementation may be on the markets for financial instruments. Disruption in the financial market could have a material adverse effect on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credit agreement that governs the Senior Secured Credit Facilities and the indentures that govern the Senior Notes will each impose significant operating and financial restrictions on our subsidiaries, which may prevent us from capitalizing on business opportunities.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that governs the Senior Secured Credit Facilities and the indentures that govern the Senior Notes each impose significant operating and financial restrictions on our subsidiaries. These restrictions will limit the ability of our subsidiaries to, among other things: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incur or guarantee additional debt or issue disqualified stock or preferred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pay dividends and make other distributions on, or redeem or repurchase, capital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make certain investments;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incur certain liens;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enter into transactions with affiliates;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merge or consolidate;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enter into agreements that restrict the ability of restricted subsidiaries to make dividends or other payments to the issuer/borrower or the guarantors of the relevant debt;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designate restricted subsidiaries as unrestricted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95250"/>
                <wp:effectExtent l="0" t="0" r="0" b="0"/>
                <wp:wrapNone/>
                <wp:docPr id="46" name="Frame4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prepay, redeem or repurchase certain indebtedness that is subordinated in right of payment to the notes;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transfer or sell assets. </w:t>
      </w:r>
    </w:p>
    <w:p>
      <w:pPr>
        <w:pStyle w:val="TextBody"/>
        <w:bidi w:val="0"/>
        <w:spacing w:before="0" w:after="0"/>
        <w:ind w:left="0" w:right="0" w:firstLine="734"/>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if borrowings under our Revolving Credit Facility exceed certain thresholds, our subsidiaries are also subject to a first lien net leverage ratio financial covenant in the credit agreement that governs the Senior Secured Credit Facilities. See Part II, “Item 7—Management’s Discussion And Analysis of Financial Condition and Results of Operation—Indebtedness.”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failure to comply with the restrictive covenants described above as well as other terms of our existing indebtedness and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results of operations, and financial condition could be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Our Organizational Structure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Medline Inc. is a holding company with no material assets other than its ownership of Common Units held directly or indirectly through wholly owned subsidiaries. Medline Inc. has no independent means of generating revenue and intends to cause Medline Holdings to make distributions to its holders of Units, including Medline Inc. and the Continuing Unitholders, in an amount sufficient to cover all applicable taxes at assumed tax rates, payments under the tax receivable agreement, and dividends, if any, declared by it. Deterioration in the financial condition, earnings, or cash flow of Medline Holdings and its subsidiaries for any reason could limit or impair their ability to pay such distributions. Additionally, to the extent that Medline Inc. needs funds, and Medline Holdings is restricted from making such distributions under applicable law or regulation or under the terms of its financing arrangements, or is otherwise unable to provide such funds, such restriction could materially adversely affect Medline Inc.’s liquidity and financial condition. There can be no assurance that Medline Holdings will generate sufficient cash flow to distribute funds to us or that applicable state law and contractual restrictions, including negative covenants in any applicable debt instruments, will permit such distributions. Medline Holdings is currently subject to debt instruments or other agreements that restrict its ability to make distributions to us, which may in turn affect Medline Holdings’ ability to pay distributions to us and thereby adversely affect our cash flows.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Medline Holdings is treated as a partnership for U.S. federal income tax purposes and, as such, generally will not be subject to any entity-level U.S. federal income tax. Instead, taxable income will be allocated to holders of Units (including Medline Inc.). Accordingly, Medline Inc. is required to pay income taxes on its allocable share of any net taxable income of Medline Holdings. Liability may be imputed for adjustments to a partnership’s tax return to the partnership itself in certain circumstances, absent an election to the contrary. Medline Holdings may be subject to material liabilities pursuant to this legislation and related guidance if, for example, its calculations of taxable income are incorrect. In addition, the income taxes on Medline Inc.’s allocable share of Medline Holdings’ net taxable income will increase over time as the Continuing Unitholders exchange their Common Units (including Common Units issued upon conversion of vested Incentive Units) for shares of Class A common stock. Such increase in Medline Inc.’s tax expenses may have a material adverse effect on our business, results of operations, and financial condition. </w:t>
      </w:r>
    </w:p>
    <w:p>
      <w:pPr>
        <w:pStyle w:val="TextBody"/>
        <w:bidi w:val="0"/>
        <w:spacing w:before="0" w:after="0"/>
        <w:ind w:left="0" w:right="0" w:firstLine="49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5250"/>
                <wp:effectExtent l="0" t="0" r="0" b="0"/>
                <wp:wrapNone/>
                <wp:docPr id="47" name="Frame4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amended and restated limited partnership agreement, Medline Holdings is obligated to make tax distributions to holders of Units (including Medline Inc.) at certain assumed tax rates. These tax distributions in certain periods are likely to exceed Medline Inc.’s tax liabilities and obligations to make payments under the tax receivable agreement. To the extent that we do not distribute such excess cash as dividends on our Class A common stock or otherwise undertake ameliorative actions between Units and shares of Class A common stock and instead, for example, hold such cash balances, our Continuing Unitholders (other than Medline Inc.) may benefit from any value attributable to such cash balances as a result of their ownership of Class A common stock following a sale or exchange of their Common Units (including Common Units issued upon conversion of vested Incentive Units) for shares of Class A common stock, notwithstanding that such Continuing Unitholders may previously have participated as holders of Units in distributions by Medline Holdings that resulted in such excess cash balances at Medline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Although we expect that our Board of Directors will take commercially reasonable measures to mitigate such excess cash benefit to the Continuing Unitholders, we will have no obligation to distribute such cash (or other available cash other than any declared dividend) to our stockholders or take any such ameliorative actions.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The credit agreement that governs our Senior Secured Credit Facilities and the indentures governing the Senior Notes include, and any financing arrangement that we enter into in the future may include, restrictive covenants that limit our ability to pay dividends. In addition, Medline Holdings is generally prohibited under Delaware law from making a distribution to a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tax receivable agreement confers benefits upon certain of our pre-IPO owners.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tax receivable agreement confers benefits upon certain of our pre-IPO owners. Medline Inc. has entered into a tax receivable agreement with certain of its pre-IPO owners that provides for the payment by Medline Inc. to such pre-IPO owners of 90% of certain tax benefits, if any, that Medline Inc. realizes, or is deemed to realize (calculated using certain assumptions), as a result of (i) Medline Inc.’s allocable share of existing tax basis in Medline Holdings’ assets acquired in the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w:t>
      </w:r>
      <w:r>
        <w:rPr>
          <w:color w:val="000000"/>
        </w:rPr>
        <w:t xml:space="preserve"> </w:t>
      </w:r>
      <w:r>
        <w:rPr>
          <w:rFonts w:ascii="Times New Roman;serif" w:hAnsi="Times New Roman;serif"/>
          <w:b w:val="false"/>
          <w:color w:val="000000"/>
          <w:sz w:val="20"/>
        </w:rPr>
        <w:t xml:space="preserve">(iii) Medline Inc.’s utilization of certain tax attributes (including any existing tax basis) of certain entities that are taxable as corporations for U.S. federal income tax purposes through which the pre-IPO owners held their interest in Medline Holdings prior to the IPO (the “Blocker Companies”), which Medline Inc. acquired in connection with the reorganization transactions (the “Reorganization”), and (iv) certain other tax benefits related to entering into the tax receivable agreement, including tax benefits attributable to payments under the tax receivable agreement. The existing tax basis, increases in existing tax basis, and the tax basis adjustments generated over time may increase (for tax purposes) depreciation and amortization deductions available to Medline Inc. and, therefore, may reduce the amount of tax that Medline Inc. would otherwise be required to pay in the future. It is possible that the IRS may challenge all or part of the validity of such tax basis or other tax attributes covered by the tax receivable agreement, and a court could sustain such a challenge.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95250"/>
                <wp:effectExtent l="0" t="0" r="0" b="0"/>
                <wp:wrapNone/>
                <wp:docPr id="48" name="Frame4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The payments under the tax receivable agreement are not conditioned upon continued ownership of us by the pre-IPO owners. While the amount of existing tax basis and anticipated tax basis adjustments and utilization of tax attributes, as well as the amount and timing of any payments under the tax receivable agreement, will vary depending upon a number of factors, we expect the payments that Medline Inc. may make under the tax receivable agreement will be substantial. As of December 31, 2025, we had recorded a deferred tax asset of $552 million and recorded a Tax Receivable Agreements liability of $3,542 million. Assuming: (i) a price of $42.00 per share of our Class A common stock, which was the closing price on December 31, 2025; (ii) a constant corporate tax rate of 25.7%; (iii) we had sufficient taxable income to fully utilize the tax benefits; and (iv) no material changes in tax law, if the Unitholders had exchanged all of the Common Units that they held on December 31, 2025, and assuming all Incentive Units had been converted to Common Units and subsequently exchanged for shares of Class A common stock at a price of $42.00 per share of Class A common stock as of such date, we would, as a result of such hypothetical exchange, have recorded an additional deferred tax asset of approximately $5,302 million and an additional tax receivable agreement liability of approximately $7,458 million, generally payable over a 15-year period.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(including Common Units issued upon conversion of vested Incentive Units), and the extent to which such exchanges are taxable; (ii) the price per share of our Class A common stock at the time of the exchanges; (iii) the amount and timing of future income against which to offset the tax benefits; and (iv) the tax rates then in effect.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 certain cases, payments under the tax receivable agreement may significantly exceed the actual benefits Medline Inc. realizes in respect of the tax attributes subject to the tax receivable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even in the absence of a change of control, payments under the tax receivable agreement could be in excess of 90% of Medline Inc.’s actual cash tax benefits.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95250"/>
                <wp:effectExtent l="0" t="0" r="0" b="0"/>
                <wp:wrapNone/>
                <wp:docPr id="49" name="Frame4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 share of distributions. There may be a material negative effect on our liquidity if the payments under the tax receivable agreement exceed the actual cash tax benefits that Medline Inc. realizes in respect of the tax attributes subject to the tax receivable agreement and/or if distributions to Medline Inc. by Medline Holdings are not sufficient to permit Medline Inc. to make payments under the tax receivable agreement after it has paid taxes and other expenses. We may need to seek to raise additional capital, incur indebtedness, or take other measures to finance payments under the tax receivable agreement to the extent our cash resources are insufficient to meet our obligations under the tax receivable agreement as a result of timing discrepancies, insufficient distributions from Medline Holdings, lack of liquidity in Medline Holdings, or otherwise, and these obligations could have the effect of delaying, deferring, or preventing certain mergers, asset sales, other forms of business combinations, or other changes of control.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application of certain valuation assumptions under the tax receivable agreement in the case of certain changes of control or other events may impair our ability to consummate change of control transactions or negatively impact the value received by owners of our Class A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Such payments may significantly exceed the actual benefits Medline Inc. realizes in respect of the tax attributes subject to the tax receivable agreement. We expect that the payments that we may make under the tax receivable agreement following a change of control will be substantial and may be in excess of 90% of Medline Inc.’s actual cash tax benefits. As a result,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Ownership of our Class A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Designating Stockholders hold a significant percentage of our stock, and their interests may conflict with ours or yours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this Annual Report, the Designating Stockholders beneficially own or control approximately 67.0% of the combined voting power of our shares eligible to vote in the election of our directors. Moreover, we have agreed to nominate to our board individuals designated by the Designating Stockholders in accordance with the director nomination agreements we entered into in connection with the IPO. The Designating Stockholders retain the right to designate directors subject to the maintenance of certain ownership requirements in us.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95250"/>
                <wp:effectExtent l="0" t="0" r="0" b="0"/>
                <wp:wrapNone/>
                <wp:docPr id="50" name="Frame5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of the date of this Annual Report, the Common Unitholders (which include certain interests held by our Principal Stockholders) own 38.2% of the Common Units. Because they hold their ownership interest in our business directly in Medline Holdings, rather than through Medline Inc., the Common Unitholders may have conflicting interests with holders of shares of our Class A common stock. For example, if Medline Holdings makes distributions to Medline Inc., the Common Unitholders and participating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Common Unitholders and holders of shares of our Class A common stock. The pre-IPO owners may also have different tax positions from Medline Inc., which could influence their decisions regarding whether and when to dispose of assets, especially in light of the tax receivable agreement, and whether and when to incur new or refinance existing indebtedness. In addition, the structuring of future transactions may take into consideration our pre-IPO owners’ tax or other considerations even where no similar benefit would accrue to 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does not limit the ability of our Sponsors, the Mills family, and certain other pre-IPO investors to compete with us, and they may have investments in businesses whose interests conflict with ours.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Sponsors, the Mills family, certain other pre-IPO investors, and their respective affiliates engage in a broad spectrum of activities, including investments in businesses that may compete with us. In the ordinary course of their business activities, our Sponsors, the Mills family, certain other pre-IPO investors, and their respective affiliates may engage in activities where their interests conflict with our interests or those of our stockholders. Our amended and restated certificate of incorporation provides that we will renounce any interest or expectancy that we would otherwise have in, and the right to be offered to participate in, any business opportunity that from time to time may be presented to our Sponsors, certain other pre-IPO investors, the Mills family, subject to limited exceptions, or any of their respective affiliates or any of our directors who are not employed by us (including any non-employee director who serves as one of our officers in both their director and officer capacities) or their affiliates. Our Sponsors, the Mills family, certain other pre-IPO investors, and their respective affiliates also may pursue acquisition opportunities that may be complementary to our business, and, as a result, those acquisition opportunities may not be available to us. In addition, our Sponsors, the Mills family, and certain other pre-IPO investors may have an interest in our pursuing acquisitions, divestitures, and other transactions that, in their judgment, could enhance their investment, even though such transactions might involve risks to us and our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will incur increased costs and have become subject to additional regulations and requirements as a result of becoming a public company, which could lower our profits, make it more difficult to run our business, or divert management’s attention from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required to commit significant resources and management time and attention to the requirements of being a public company, which causes us to incur significant legal, accounting, and other expenses that we had not incurred as a private company, including costs associated with public company reporting requirements. We also will incur costs associated with the Sarbanes-Oxley Act of 2002 (the “Sarbanes-Oxley Act”) and related rules implemented by the SEC and Nasdaq, and compliance with these requirements place significant demands on our legal, accounting, and finance staff and on our financial and information systems. In addition, we might not be successful in implementing these requirements.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95250"/>
                <wp:effectExtent l="0" t="0" r="0" b="0"/>
                <wp:wrapNone/>
                <wp:docPr id="51" name="Frame5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Failure to comply with requirements to design, implement, and maintain effective internal controls could have a material adverse effect on our business and stock price.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to furnish a report by management on, among other things, the effectiveness of our internal control over financial reporting in the Annual Report on Form 10-K for the fiscal year ended December 31, 2026 (the “2026 Annual Report”).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our independent registered public accounting firm will be required to attest to the effectiveness of our internal control over financial reporting on an annual basis, beginning with the 2026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in the process of addressing our internal controls over financial reporting and are establishing formal procedures, policies, processes, and practices related to financial reporting and to the identification of key financial reporting risks, assessment of their potential impact, and linkage of those risks to specific areas and activities within our organization. Our independent registered public accounting firm will not be required to attest to the effectiveness of our internal control over financial reporting until our 2026 Annual Report. Because we currently do not have comprehensive documentation of our internal controls and have not yet tested our internal controls in accordance with Section 404, we cannot conclude in accordance with Section 404 that we do not have a material weakness in our internal controls or a combination of significant deficiencies that could result in the conclusion that we have a material weakness in our internal controls. In connection with updating our control processes and the implementation of the necessary procedures and practices related to internal control over financial reporting, we have identified deficiencies and may identify deficiencies in the future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reports about our business, or if they downgrade their recommendations regarding our Class A common stock, our stock price and trading volume could decline.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is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cannot predict the impact our dual class structure may have on the market price of our Class A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share of our Class A common stock and Class B common stock entitles its holder to one vote on all matters to be voted on by the stockholders generally. We cannot predict whether our dual class structure will result in a lower or more volatile market price of our Class A common stock, in adverse publicity, or other adverse consequences. Certain index providers have in the past announced restrictions on including companies with multiple class share structures in certain of their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95250"/>
                <wp:effectExtent l="0" t="0" r="0" b="0"/>
                <wp:wrapNone/>
                <wp:docPr id="52" name="Frame5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market price of shares of our Class A common stock may be volatile or may decline regardless of our operating performance, which could cause the value of your investment to decline.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IPO price.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You may be diluted by the future issuance of additional Class A common stock or Common Units in connection with our incentive plans, acquisitions or otherwise.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February 23, 2026, we have 49,188,328,656 shares of Class A common stock authorized but unissued, including 502,045,878 shares of Class A common stock issuable upon exchange of Common Units that will be held by the Common Unitholders.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partnership agreement of Medline Holdings permits Medline Holdings to issue an unlimited number of additional partnership interests of Medline Holdings with designations, preferences, rights, powers and duties that are different from, and may be senior to, those applicable to the Common Units, and which may be exchangeable for shares of our Class A common stock. Additionally, we have reserved an aggregate of 60,000,000 shares of Class A common stock for issuance under our Medline Inc. 2025 Omnibus Incentive Plan (the “Omnibus Incentive Plan”). There are also 20,000,000 shares of Class A common stock reserved for issuance under our Medline Inc. 2025 Employee Stock Purchase Plan (the “ESPP”). Any Class A common stock that we issue, including under our Omnibus Incentive Plan, our ESPP, or other equity incentive plans that we may adopt in the future, would dilute the percentage ownership held by the investors who purchase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issue preferred stock whose terms could materially adversely affect the voting power or value of our Class A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authorizes us to issue, without the approval of our stockholders, one or more series of preferred stock having such designations, preferences, limitations and relative rights, including preferences over our Class A common stock respecting dividends and distributions, as our Board of Directors may determine. The terms of one or more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95250"/>
                <wp:effectExtent l="0" t="0" r="0" b="0"/>
                <wp:wrapNone/>
                <wp:docPr id="53" name="Frame5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we or our pre-IPO owners sell additional shares of our Class A common stock or are perceived by the public markets as intending to sell them, the market price of our Class A common stock could decline.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As of February 23, 2026, we have a total of 811,647,534 shares of our Class A common stock outstanding. All of the shares of our Class A common stock that were sold in the IPO are freely tradable without restriction or further registration under the Securities Act of 1933, as amended, (the “Securities Act”), by persons other than our “affiliates,” as that term is defined under Rule 144 of the Securities Act (“Rule 144”).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and the Continuing Unitholders have entered into an exchange agreement under which they (or certain permitted transferees) have the right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Subject to the terms of the exchange agreement, an aggregate of 502,045,878 Common Units may be exchanged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We, our directors, executive officers, and holders of substantially all of our outstanding Common Units immediately prior to the IPO have agreed, subject to certain exceptions, not to dispose of or hedge any shares of our Class A common stock (including shares issued upon exchange of Common Units) or securities convertible into or exchangeable for shares of our Class A common stock for 180 days from December 18, 2025, except with the prior written consent of either Goldman Sachs &amp; Co. LLC or Morgan Stanley &amp; Co. LLC, and one additional representative, on behalf of the IPO underwriters, and the prior written notice to the other representatives. As a result of the registration rights agreement, however, all of these shares of our Class A common stock (including shares issued upon exchange of Common Units) may be eligible for future sale without restriction, subject to applicable lock-up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certain limitations and exceptions, pursuant to the terms of the amended and restated limited partnership agreement of Medline Holdings, the Incentive Unitholders hold 41,788,894 Incentive Units, which have a weighted-average per unit participation threshold of $16.51 per Incentive Unit, and will have the right to convert their Incentive Units (assuming all conditions to vesting have been satisfied and all such Incentive Units are fully vested) into 27,875,935 Common Units of Medline Holdings. Common Units received upon conversion will be exchangeable on a one-for-one basis for shares of Class A common stock of Medline Inc. in accordance with the terms of the exchange agreement. In the event that the price of our Class A common stock increases, the number of Common Units a holder of vested Incentive Units would receive upon conversion of such Incentive Units would increase. The delivery of shares of Class A common stock upon exchange of Common Units received in conversion of Incentive Units will be registered on one or more registration statements on Form S-8.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Upon the expiration of the lock-up agreements described above, all of such shares will be eligible for resale in the public market, subject, in the case of shares held by our affiliates, to volume, manner of sale and other limitations under Rule 144. We expect that our Principal Stockholders will continue to be considered affiliates following the expiration of the lock-up period based on their expected share ownership and their board nomination rights. Certain of our other stockholders may also be considered affiliates at that time. However, subject to the expiration or waiver of the 180-day lock-up period, the holders of these shares of Class A common stock will have the right, subject to certain exceptions and conditions, to require us to register their shares of Class A common stock under the Securities Act, and they will have the right to participate in future registrations of securities by us. Registration of any of these outstanding shares of Class A common stock would result in such shares becoming freely tradable without compliance with Rule 144 upon effectiveness of the registration statement.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filed a registration statement on Form S-8 under the Securities Act to register shares of our Class A common stock or securities convertible into or exchangeable for shares of our Class A common stock issued pursuant to our Omnibus Incentive Plan and our ESPP. Accordingly, shares registered under such registration statements will be available for sale in the open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95250"/>
                <wp:effectExtent l="0" t="0" r="0" b="0"/>
                <wp:wrapNone/>
                <wp:docPr id="54" name="Frame5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we may also issue our securities in connection with investments or acquisitions. The amount of shares of our Class A common stock issued in connection with an investment or acquisition could constitute a material portion of our then outstanding shares of Class A common stock. As the lock-up period or other restrictions on resale end,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Anti-takeover provisions in our organizational documents and Delaware law might discourage or delay acquisition attempts for us that you might consider favorable.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contain provisions that may make the merger or acquisition of our company more difficult without the approval of our Board of Directors. Among other things, these provisions: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terms may include super voting rights, special approval rights, special or preferential rights to dividends or distributions upon a liquidation, dissolution or winding up, conversion rights, redemption rights, or other rights, powers, or preferences prior or superior to the rights of the holders of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prohibit stockholder action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provide for certain limitations on convening special stockholder meetings;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 advance notice requirements for nominations for elections to our board or for proposing other items of business that can be acted upon by stockholders at annual or special meetings.</w:t>
      </w:r>
    </w:p>
    <w:p>
      <w:pPr>
        <w:pStyle w:val="TextBody"/>
        <w:bidi w:val="0"/>
        <w:spacing w:before="0" w:after="0"/>
        <w:ind w:left="0" w:right="0" w:firstLine="734"/>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elected not to be governed by Section 203 of the General Corporation Law of the State of Delaware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together with such person’s affiliates and associates, owns 15% or more of the outstanding voting stock of the corporation),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a person becoming an interested stockholder prior to the time such person became an interested stockholder. 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w:t>
      </w:r>
    </w:p>
    <w:p>
      <w:pPr>
        <w:pStyle w:val="TextBody"/>
        <w:bidi w:val="0"/>
        <w:spacing w:before="0" w:after="0"/>
        <w:ind w:left="0" w:right="0" w:firstLine="49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95250"/>
                <wp:effectExtent l="0" t="0" r="0" b="0"/>
                <wp:wrapNone/>
                <wp:docPr id="55" name="Frame5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designates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unless we consent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bylaws or as to which the DGCL confers jurisdiction on the Court of Chancery of the State of Delaware; or (iv) any action asserting a claim against us that is governed by the internal affairs doctrine.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the Company or the Company’s directors, officers, other stockholders, or employees or result in increased costs for a stockholder to bring a claim, particularly if they do not reside in or near Delaware, each of which may discourage lawsuits against us or our directors, officers, other stockholders, or employees.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We have a dedicated cybersecurity team that works to prevent, detect, and respond to cybersecurity threats. The cybersecurity team is led by the Global Chief Information Security Officer (“CISO”). Our CISO has over 20 years of cybersecurity experience and maintains industry recognized security certifications. Our CISO receives reports on cybersecurity threats on an ongoing basis and regularly reviews risk management measures we’ve implemented to identify and mitigate data protection and cybersecurity risks. Our CISO works closely with our legal team to oversee compliance with legal, regulatory and contractual security requirements.</w:t>
      </w:r>
      <w:r>
        <w:rPr>
          <w:color w:val="000000"/>
        </w:rPr>
        <w:t xml:space="preserve"> </w:t>
      </w:r>
      <w:r>
        <w:rPr>
          <w:rFonts w:ascii="Times New Roman;serif" w:hAnsi="Times New Roman;serif"/>
          <w:b w:val="false"/>
          <w:color w:val="000000"/>
          <w:sz w:val="20"/>
        </w:rPr>
        <w:t>As part of our enterprise risk management strategy, we identify, assess, and manage risks related to cybersecurity through policies, standards, and procedures. The cybersecurity team works to identify, assess, and manage cybersecurity risks by: (i) reviewing risks from cybersecurity threats with senior management; (ii) regularly reviewing cybersecurity risks and mitigation efforts, including with the Board of Directors and the Risk and Compliance Committee of the Board of Directors (the “Risk Committee”); (iii) conducting periodic tabletop exercises to promote awareness and improve internal processes; (iv) implementing security measures and policies intended to identify and assist in containing and remediating cybersecurity risks, and (v) using third party cybersecurity experts as needed for reviews and testing.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95250"/>
                <wp:effectExtent l="0" t="0" r="0" b="0"/>
                <wp:wrapNone/>
                <wp:docPr id="56" name="Frame5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team reviews and updates its information security strategy and creates plans based on identified enterprise risks. We engage with third parties in order to enhance, implement, assess and monitor our cybersecurity processes, controls, and posture. We maintain cybersecurity incident response, disaster recovery, and business continuity plans that guide activities such as preparing for, detecting, coordinating, investigating, containing, remediating, documenting, recovering from, and escalating applicable incidents to senior management and, where appropriate, relevant committees of the Board of Directors. We also conduct mandatory employee cybersecurity and privacy compliance awareness training.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identify and assess third-party risks associated with suppliers and service providers across a range of areas, including cybersecurity, through a third-party risk management process that incorporates, among other features, the use of risk assessments and, where appropriate, contractual requirements around cybersecurity, audit requirements, appropriate service levels, and other terms.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this Annual Report, we have not identified any risks from cybersecurity threats, including as a result of past cybersecurity incidents, have had, or we believe are reasonably likely to have, a material adverse effect on us, including our business strategy, results of operations, or financial condition. However, we, or third-party service providers we’ve engaged, may be subject to cybersecurity incidents, or other unauthorized access of information systems in the future. There can be no assurance that any future cybersecurity incident or unauthorized access to or breach of these information systems will not be material to our business, strategy, results of operations, or financial condition. For more information on risks to us from cybersecurity threats, see Part I, “Item 1A—Risk Factors—Risks Related to Regulation and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Risk Committee assists the Board of Directors in its oversight of our cybersecurity program.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its cybersecurity oversight, the Risk Committee oversees and regularly reviews our programs and processes for managing cybersecurity risks, including our framework for preventing, detecting, and addressing cybersecurity incidents and identifying emerging risks both broadly and within related industries. Our CISO routinely provides cybersecurity updates to the Risk Committee and information to the Board of Directors. We have protocols by which certain cybersecurity incidents that meet established reporting thresholds are escalated within the Company and, where appropriate, reported to the Board of Directors and Risk Committee, as well as ongoing updates regarding any such incident until it has been addressed.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are located in Northfield, Illinois, where we own approximately 720,000 square feet of space.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own or lease 118 real estate sites in the United States, including 17 manufacturing facilities used for our Medline Brand segment and 45 warehouse distribution facilities used for our Medline Brand and Supply Chain Solutions segments, and 80 real estate sites internationally, including 13 manufacturing facilities used for our Medline Brand segment and 25 warehouse distribution facilities used for our Medline Brand and Supply Chain Solutions segments.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facilities are sufficient for our current needs and that, should they be needed, additional facilities will be available to accommodate the expansion of our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litigation, including those described herein,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95250"/>
                <wp:effectExtent l="0" t="0" r="0" b="0"/>
                <wp:wrapNone/>
                <wp:docPr id="57" name="Frame5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13—Commitments and Contingencies to our audited consolidated financial statements included under Part II, “Item 8—Financial Statements and Supplementary Data” of this Annual Report, which is incorporated by reference into this Item 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95250"/>
                <wp:effectExtent l="0" t="0" r="0" b="0"/>
                <wp:wrapNone/>
                <wp:docPr id="58" name="Frame5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and Stockholder Information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Our Class A common stock is listed on the Nasdaq Global Select Market under the symbol “MDLN.”</w:t>
      </w:r>
      <w:r>
        <w:rPr>
          <w:color w:val="000000"/>
        </w:rPr>
        <w:t xml:space="preserve"> </w:t>
      </w:r>
      <w:r>
        <w:rPr>
          <w:rFonts w:ascii="Times New Roman;serif" w:hAnsi="Times New Roman;serif"/>
          <w:b w:val="false"/>
          <w:color w:val="000000"/>
          <w:sz w:val="20"/>
        </w:rPr>
        <w:t>There is no established public trading market for our Class B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February 23, 2026, there were 187 holders of record of our Class A common stock and 46 holders of record of our Class B common stock. The actual number of stockholders is greater than the number of record holders, and includes stockholders who are beneficial owners, but whose shares are held in street name by brokers and other nominees.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 current plans to pay dividends on our Class A common stock. The declaration, amount, and payment of any future dividends will be at the sole discretion of our Board of Directors and will depend on general economic and business conditions; our financial condition and operating results; our available cash; current and anticipated cash needs; capital requirements; contractual, legal, tax, and regulatory restrictions and implications on the payment of dividends by us to our stockholders or by our subsidiaries (including Medline Holdings) to us; and such other factors as our Board of Directors may deem relevant. Holders of Class B common stock are not entitled to any dividends (other than dividends payable in the form of additional shares of Class B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purchases by the Company of its Class A common stock during the three months ended December 31, 2025.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2"/>
        <w:gridCol w:w="440"/>
        <w:gridCol w:w="445"/>
        <w:gridCol w:w="604"/>
        <w:gridCol w:w="413"/>
        <w:gridCol w:w="394"/>
        <w:gridCol w:w="109"/>
        <w:gridCol w:w="109"/>
        <w:gridCol w:w="109"/>
        <w:gridCol w:w="288"/>
        <w:gridCol w:w="819"/>
        <w:gridCol w:w="160"/>
        <w:gridCol w:w="109"/>
        <w:gridCol w:w="109"/>
        <w:gridCol w:w="109"/>
        <w:gridCol w:w="827"/>
        <w:gridCol w:w="827"/>
        <w:gridCol w:w="830"/>
        <w:gridCol w:w="109"/>
        <w:gridCol w:w="109"/>
        <w:gridCol w:w="109"/>
        <w:gridCol w:w="651"/>
        <w:gridCol w:w="1351"/>
        <w:gridCol w:w="523"/>
      </w:tblGrid>
      <w:tr>
        <w:trPr/>
        <w:tc>
          <w:tcPr>
            <w:tcW w:w="65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Period</w:t>
            </w:r>
          </w:p>
        </w:tc>
        <w:tc>
          <w:tcPr>
            <w:tcW w:w="141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68" w:before="0" w:after="0"/>
              <w:jc w:val="center"/>
              <w:rPr/>
            </w:pPr>
            <w:r>
              <w:rPr>
                <w:rFonts w:ascii="Times New Roman;serif" w:hAnsi="Times New Roman;serif"/>
                <w:b/>
                <w:color w:val="000000"/>
                <w:sz w:val="20"/>
              </w:rPr>
              <w:t xml:space="preserve">Shares Purchased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 xml:space="preserve">Maximum Dollar Amount of Shares That May Yet Be Purchased Under the Program </w:t>
            </w:r>
            <w:r>
              <w:rPr>
                <w:rFonts w:ascii="Times New Roman;serif" w:hAnsi="Times New Roman;serif"/>
                <w:b/>
                <w:color w:val="000000"/>
                <w:sz w:val="13"/>
              </w:rPr>
              <w:t>(1)</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 to October 31, 2025</w:t>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November 1, 2025 to November 30, 2025</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December 1, 2025 to December 31, 2025</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46,641,142 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1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46,641,142 </w:t>
            </w:r>
          </w:p>
        </w:tc>
        <w:tc>
          <w:tcPr>
            <w:tcW w:w="3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December 2025, in connection with the completion of our IPO, we repurchased 46,641,142 shares of Class A common stock from certain of our pre-IPO owners at a price per Class A common stock equal to the IPO price per share of our Class A common stock less the underwriting discounts and commissions for an aggregate of approximately $1,323 million. See “—Use of Proceeds”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Sales of Unregistered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Transactions, on December 16, 2025, we issued (i) 607,521,662 shares of Class A common stock and (ii) 527,195,560 shares of Class B common stock to our pre-IPO owners or affiliates thereof. No underwriters were involved in the issuance of these shares of Class A common stock or Class B common stock.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of Class A common stock and Class B common stock were issued in reliance upon an exemption from registration pursuant to Section 4(a)(2) of the Securities Act on the basis that the transaction did not involve a public offering.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95250"/>
                <wp:effectExtent l="0" t="0" r="0" b="0"/>
                <wp:wrapNone/>
                <wp:docPr id="59" name="Frame5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Proceeds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December 18, 2025, we completed the IPO of our Class A common stock in which we issued and sold </w:t>
      </w:r>
      <w:r>
        <w:rPr>
          <w:rFonts w:ascii="Times New Roman;serif" w:hAnsi="Times New Roman;serif"/>
          <w:b w:val="false"/>
          <w:color w:val="000000"/>
          <w:sz w:val="20"/>
        </w:rPr>
        <w:t>248,439,654</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(including shares issued pursuant to the exercise in full of the underwriters’ option to purchase additional shares) for cash consideration of </w:t>
      </w:r>
      <w:r>
        <w:rPr>
          <w:rFonts w:ascii="Times New Roman;serif" w:hAnsi="Times New Roman;serif"/>
          <w:b w:val="false"/>
          <w:color w:val="000000"/>
          <w:sz w:val="20"/>
        </w:rPr>
        <w:t>$29.00</w:t>
      </w:r>
      <w:r>
        <w:rPr>
          <w:color w:val="000000"/>
          <w:shd w:fill="FFFFFF" w:val="clear"/>
        </w:rPr>
        <w:t xml:space="preserve"> </w:t>
      </w:r>
      <w:r>
        <w:rPr>
          <w:rFonts w:ascii="Times New Roman;serif" w:hAnsi="Times New Roman;serif"/>
          <w:b w:val="false"/>
          <w:color w:val="000000"/>
          <w:sz w:val="20"/>
          <w:shd w:fill="FFFFFF" w:val="clear"/>
        </w:rPr>
        <w:t xml:space="preserve">per share. The shares sold in the offering were registered under the Securities Act pursuant to our Registration Statement on Form S-1 (File No. 333-291112) which was declared effective by the SEC on December 16, 2025. </w:t>
      </w:r>
      <w:r>
        <w:rPr>
          <w:rFonts w:ascii="Times New Roman;serif" w:hAnsi="Times New Roman;serif"/>
          <w:b w:val="false"/>
          <w:color w:val="000000"/>
          <w:sz w:val="20"/>
        </w:rPr>
        <w:t xml:space="preserve">The IPO generated net proceeds of approximately $7,048 million after deducting underwriting discounts and commissions of approximately $157 million, but before deducting offering expenses of approximately $40 million. </w:t>
      </w:r>
      <w:r>
        <w:rPr>
          <w:rFonts w:ascii="Times New Roman;serif" w:hAnsi="Times New Roman;serif"/>
          <w:b w:val="false"/>
          <w:color w:val="000000"/>
          <w:sz w:val="20"/>
          <w:shd w:fill="FFFFFF" w:val="clear"/>
        </w:rPr>
        <w:t xml:space="preserve">We used the proceeds (net of underwriting discounts and commissions) from the issuance of </w:t>
      </w:r>
      <w:r>
        <w:rPr>
          <w:rFonts w:ascii="Times New Roman;serif" w:hAnsi="Times New Roman;serif"/>
          <w:b w:val="false"/>
          <w:color w:val="000000"/>
          <w:sz w:val="20"/>
        </w:rPr>
        <w:t>179,000,000</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$5,078</w:t>
      </w:r>
      <w:r>
        <w:rPr>
          <w:color w:val="000000"/>
          <w:shd w:fill="FFFFFF" w:val="clear"/>
        </w:rPr>
        <w:t xml:space="preserve"> </w:t>
      </w:r>
      <w:r>
        <w:rPr>
          <w:rFonts w:ascii="Times New Roman;serif" w:hAnsi="Times New Roman;serif"/>
          <w:b w:val="false"/>
          <w:color w:val="000000"/>
          <w:sz w:val="20"/>
          <w:shd w:fill="FFFFFF" w:val="clear"/>
        </w:rPr>
        <w:t xml:space="preserve">million) in the IPO to purchase an equivalent number of newly issued Common Units from Medline Holdings, which Medline Holdings has in turn used </w:t>
      </w:r>
      <w:r>
        <w:rPr>
          <w:rFonts w:ascii="Times New Roman;serif" w:hAnsi="Times New Roman;serif"/>
          <w:b w:val="false"/>
          <w:color w:val="000000"/>
          <w:sz w:val="20"/>
        </w:rPr>
        <w:t>$731</w:t>
      </w:r>
      <w:r>
        <w:rPr>
          <w:color w:val="000000"/>
          <w:shd w:fill="FFFFFF" w:val="clear"/>
        </w:rPr>
        <w:t xml:space="preserve"> </w:t>
      </w:r>
      <w:r>
        <w:rPr>
          <w:rFonts w:ascii="Times New Roman;serif" w:hAnsi="Times New Roman;serif"/>
          <w:b w:val="false"/>
          <w:color w:val="000000"/>
          <w:sz w:val="20"/>
          <w:shd w:fill="FFFFFF" w:val="clear"/>
        </w:rPr>
        <w:t xml:space="preserve">million (including interest of </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 xml:space="preserve">million) of which to repay in full all outstanding Euro Term Loans (as defined herein) and </w:t>
      </w:r>
      <w:r>
        <w:rPr>
          <w:rFonts w:ascii="Times New Roman;serif" w:hAnsi="Times New Roman;serif"/>
          <w:b w:val="false"/>
          <w:color w:val="000000"/>
          <w:sz w:val="20"/>
        </w:rPr>
        <w:t>$3,292</w:t>
      </w:r>
      <w:r>
        <w:rPr>
          <w:color w:val="000000"/>
          <w:shd w:fill="FFFFFF" w:val="clear"/>
        </w:rPr>
        <w:t xml:space="preserve"> </w:t>
      </w:r>
      <w:r>
        <w:rPr>
          <w:rFonts w:ascii="Times New Roman;serif" w:hAnsi="Times New Roman;serif"/>
          <w:b w:val="false"/>
          <w:color w:val="000000"/>
          <w:sz w:val="20"/>
          <w:shd w:fill="FFFFFF" w:val="clear"/>
        </w:rPr>
        <w:t xml:space="preserve">million (including interest of </w:t>
      </w:r>
      <w:r>
        <w:rPr>
          <w:rFonts w:ascii="Times New Roman;serif" w:hAnsi="Times New Roman;serif"/>
          <w:b w:val="false"/>
          <w:color w:val="000000"/>
          <w:sz w:val="20"/>
        </w:rPr>
        <w:t>$11</w:t>
      </w:r>
      <w:r>
        <w:rPr>
          <w:color w:val="000000"/>
          <w:shd w:fill="FFFFFF" w:val="clear"/>
        </w:rPr>
        <w:t xml:space="preserve"> </w:t>
      </w:r>
      <w:r>
        <w:rPr>
          <w:rFonts w:ascii="Times New Roman;serif" w:hAnsi="Times New Roman;serif"/>
          <w:b w:val="false"/>
          <w:color w:val="000000"/>
          <w:sz w:val="20"/>
          <w:shd w:fill="FFFFFF" w:val="clear"/>
        </w:rPr>
        <w:t xml:space="preserve">million) of which to repay a portion of the outstanding Dollar Term Loans (as defined herein) which matures in 2028. We will use the remaining net proceeds for general corporate purposes and to bear all of the expenses of the IPO. We have used the proceeds (net of underwriting discounts and commissions) from the issuance of </w:t>
      </w:r>
      <w:r>
        <w:rPr>
          <w:rFonts w:ascii="Times New Roman;serif" w:hAnsi="Times New Roman;serif"/>
          <w:b w:val="false"/>
          <w:color w:val="000000"/>
          <w:sz w:val="20"/>
        </w:rPr>
        <w:t>37,034,482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$1,051</w:t>
      </w:r>
      <w:r>
        <w:rPr>
          <w:color w:val="000000"/>
          <w:shd w:fill="FFFFFF" w:val="clear"/>
        </w:rPr>
        <w:t xml:space="preserve"> </w:t>
      </w:r>
      <w:r>
        <w:rPr>
          <w:rFonts w:ascii="Times New Roman;serif" w:hAnsi="Times New Roman;serif"/>
          <w:b w:val="false"/>
          <w:color w:val="000000"/>
          <w:sz w:val="20"/>
          <w:shd w:fill="FFFFFF" w:val="clear"/>
        </w:rPr>
        <w:t xml:space="preserve">million) and the issuance of </w:t>
      </w:r>
      <w:r>
        <w:rPr>
          <w:rFonts w:ascii="Times New Roman;serif" w:hAnsi="Times New Roman;serif"/>
          <w:b w:val="false"/>
          <w:color w:val="000000"/>
          <w:sz w:val="20"/>
        </w:rPr>
        <w:t>32,405,172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$919</w:t>
      </w:r>
      <w:r>
        <w:rPr>
          <w:color w:val="000000"/>
          <w:shd w:fill="FFFFFF" w:val="clear"/>
        </w:rPr>
        <w:t xml:space="preserve"> </w:t>
      </w:r>
      <w:r>
        <w:rPr>
          <w:rFonts w:ascii="Times New Roman;serif" w:hAnsi="Times New Roman;serif"/>
          <w:b w:val="false"/>
          <w:color w:val="000000"/>
          <w:sz w:val="20"/>
          <w:shd w:fill="FFFFFF" w:val="clear"/>
        </w:rPr>
        <w:t>million) pursuant to the exercise in full by the underwriters of their option to purchase additional shares in the IPO to purchase or redeem an equivalent aggregate number of shares of Class A common stock and Common Units from certain of our pre-IPO owners.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Goldman Sachs &amp; Co. LLC, Morgan Stanley&amp; Co. LLC, BofA Securities, Inc. and J.P. Morgan Securities LLC acted as global coordinators and lead bookrunning managers for the offering. Barclays Capital Inc., Citigroup Global Markets Inc., Deutsche Bank Securities, Inc. Jefferies LLC, UBS Securities LLC, Evercore Group L.L.C., BMO Capital Markets Corp., BNP Paribas Securities Corp., MUFG Securities Americas Inc., RBC Capital Markets, LLC, Santander </w:t>
      </w:r>
      <w:r>
        <w:rPr>
          <w:rFonts w:ascii="Times New Roman;serif" w:hAnsi="Times New Roman;serif"/>
          <w:b w:val="false"/>
          <w:color w:val="000000"/>
          <w:sz w:val="20"/>
        </w:rPr>
        <w:t>US Capital Markets LLC</w:t>
      </w:r>
      <w:r>
        <w:rPr>
          <w:rFonts w:ascii="Times New Roman;serif" w:hAnsi="Times New Roman;serif"/>
          <w:b w:val="false"/>
          <w:color w:val="000000"/>
          <w:sz w:val="20"/>
          <w:shd w:fill="FFFFFF" w:val="clear"/>
        </w:rPr>
        <w:t>, SG Americas Securities, LLC, TD Securities (USA) LLC, Wells Fargo Securities, LLC, Nomura Securities International, Inc., WR Securities, LLC, Leerink Partners LLC, Macquarie Capital (USA) Inc., Mizuho Securities USA LLC, Piper Sandler &amp; Co., Truist Securities, Inc. and William Blair &amp; Company, L.L.C. acted as bookrunning managers, and Blackstone Securities Partners L.P., TCG Capital Markets L.L.C., Robert W. Baird &amp; Co. Incorporated, Rothschild &amp; Co US Inc., Stifel, Nicolaus &amp; Company, Incorporated, BTIG, LLC, ING Financial Markets LLC, Intesa Sanpaolo IMI Securities Corp., NCMG LLC, Perella Weinberg Partners LP, Academy Securities, Inc., AmeriVet Securities, Inc., Blaylock Van, LLC, C.L. King &amp; Associates, Inc., Drexel Hamilton, LLC, Loop Capital Markets LLC, Mischler Financial Group, Inc., R. Seelaus &amp; Co., LLC, Samuel A. Ramirez &amp; Company, Inc., Siebert Williams Shank &amp; Co., LLC and Tigress Financial Partners LLC acted as co-managers for the offering.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Performance Graph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performance graph shall not be deemed soliciting material or to be filed with the SEC for purposes of Section 18 of the Exchange Act, nor shall such information be incorporated by reference into any of our other filings under the Exchange Act or the Securities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graph below compares the cumulative total stockholder return on our Class A common stock with the cumulative total return on the Standard &amp; Poor’s (“S&amp;P”) 500 Index and the S&amp;P 500 Health Care Index through December 31, 2025. The graph assumes an initial investment of $100 in our Class A common stock at the market close on December 17, 2025, which was our initial trading day. Data for the S&amp;P 500 Index and the S&amp;P 500 Health Care Index assume an initial investment of $100 at market close on December 17, 2025 and the reinvestment of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95250"/>
                <wp:effectExtent l="0" t="0" r="0" b="0"/>
                <wp:wrapNone/>
                <wp:docPr id="60" name="Frame6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comparisons in the graph below are based upon historical data and are not indicative of, nor intended to forecast, future performance of our Class A common stock.</w:t>
      </w:r>
    </w:p>
    <w:p>
      <w:pPr>
        <w:pStyle w:val="TextBody"/>
        <w:bidi w:val="0"/>
        <w:spacing w:before="0" w:after="0"/>
        <w:jc w:val="both"/>
        <w:rPr/>
      </w:pPr>
      <w:r>
        <w:rPr/>
      </w:r>
    </w:p>
    <w:p>
      <w:pPr>
        <w:pStyle w:val="TextBody"/>
        <w:bidi w:val="0"/>
        <w:spacing w:before="0" w:after="0"/>
        <w:jc w:val="left"/>
        <w:rPr/>
      </w:pPr>
      <w:r>
        <w:rPr/>
        <w:drawing>
          <wp:inline distT="0" distB="0" distL="0" distR="0">
            <wp:extent cx="5943600" cy="3848100"/>
            <wp:effectExtent l="0" t="0" r="0" b="0"/>
            <wp:docPr id="6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 descr=""/>
                    <pic:cNvPicPr>
                      <a:picLocks noChangeAspect="1" noChangeArrowheads="1"/>
                    </pic:cNvPicPr>
                  </pic:nvPicPr>
                  <pic:blipFill>
                    <a:blip r:embed="rId2"/>
                    <a:stretch>
                      <a:fillRect/>
                    </a:stretch>
                  </pic:blipFill>
                  <pic:spPr bwMode="auto">
                    <a:xfrm>
                      <a:off x="0" y="0"/>
                      <a:ext cx="5943600" cy="3848100"/>
                    </a:xfrm>
                    <a:prstGeom prst="rect">
                      <a:avLst/>
                    </a:prstGeom>
                  </pic:spPr>
                </pic:pic>
              </a:graphicData>
            </a:graphic>
          </wp:inline>
        </w:drawing>
      </w:r>
      <w:bookmarkStart w:id="0" w:name="i-1"/>
      <w:bookmarkEnd w:id="0"/>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95250"/>
                <wp:effectExtent l="0" t="0" r="0" b="0"/>
                <wp:wrapNone/>
                <wp:docPr id="62" name="Frame6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("MD&amp;A") is intended to help you understand the financial condition, results of operations, and present business of Medline and Medline Holdings (f/k/a, Mozart Holdings, LP, the predecessor of Medline). This MD&amp;A should be read in conjunction with our consolidated financial statements and the accompanying notes in Part II, “Item 8—Financial Statements and Supplemental Data” of this Annual Report. Some of the information included in this MD&amp;A or set forth elsewhere in this Annual Report, including information with respect to our plans and strategy for our business, include forward-looking statements that involve risks and uncertainties. Our future results and financial condition may differ materially from those we currently anticipate. You should review the “Cautionary Note Regarding Forward-Looking Statements” and Part I,“Item 1A—Risk Factors” sections of this Annual Report for a discussion of important factors that could cause actual results to differ materially from the results described in or implied by the forward-looking statements contained in the following discussion and analysis. For purposes of the MD&amp;A, references to the “Company,” “Medline,” “we,” “us,” and “our” mean Medline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pPr>
      <w:r>
        <w:rPr>
          <w:rFonts w:ascii="Times New Roman;serif" w:hAnsi="Times New Roman;serif"/>
          <w:b w:val="false"/>
          <w:color w:val="000000"/>
          <w:sz w:val="20"/>
        </w:rPr>
        <w:t>Medline is the largest provider of med-surg products and supply chain solutions serving all points of care, based on total net sales of med-surg products. We deliver mission-critical products used daily across the full range of care settings, from hospitals and surgery centers to physician</w:t>
      </w:r>
      <w:r>
        <w:rPr>
          <w:color w:val="000000"/>
          <w:shd w:fill="FFFFFF" w:val="clear"/>
        </w:rPr>
        <w:t xml:space="preserve"> </w:t>
      </w:r>
      <w:r>
        <w:rPr>
          <w:rFonts w:ascii="Times New Roman;serif" w:hAnsi="Times New Roman;serif"/>
          <w:b w:val="false"/>
          <w:color w:val="000000"/>
          <w:sz w:val="20"/>
          <w:shd w:fill="FFFFFF" w:val="clear"/>
        </w:rPr>
        <w:t xml:space="preserve">offices and post-acute facilities. </w:t>
      </w:r>
      <w:r>
        <w:rPr>
          <w:rFonts w:ascii="Times New Roman;serif" w:hAnsi="Times New Roman;serif"/>
          <w:b w:val="false"/>
          <w:color w:val="000000"/>
          <w:sz w:val="20"/>
        </w:rPr>
        <w:t>We operate under two reportable segments, Medline Brand and Supply Chain Solutions. Both segments are supported by our Prime Vendor model, differentiated distribution network, and robust commercial platform. See Part I, “Item 1—Business” for a more detailed description of each of our segments, our Prime Vendor model, distribution network, and commercial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our financial results were as follows: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We generated net sales of $28.4 billion, net income of $1.2 billion, and </w:t>
      </w:r>
      <w:r>
        <w:rPr>
          <w:rFonts w:ascii="Times New Roman;serif" w:hAnsi="Times New Roman;serif"/>
          <w:b w:val="false"/>
          <w:color w:val="000000"/>
          <w:sz w:val="20"/>
          <w:shd w:fill="FFFFFF" w:val="clear"/>
        </w:rPr>
        <w:t xml:space="preserve">Adjusted EBITDA of </w:t>
      </w:r>
      <w:r>
        <w:rPr>
          <w:rFonts w:ascii="Times New Roman;serif" w:hAnsi="Times New Roman;serif"/>
          <w:b w:val="false"/>
          <w:color w:val="000000"/>
          <w:sz w:val="20"/>
        </w:rPr>
        <w:t>$3.5</w:t>
      </w:r>
      <w:r>
        <w:rPr>
          <w:color w:val="000000"/>
          <w:shd w:fill="FFFFFF" w:val="clear"/>
        </w:rPr>
        <w:t xml:space="preserve"> </w:t>
      </w:r>
      <w:r>
        <w:rPr>
          <w:rFonts w:ascii="Times New Roman;serif" w:hAnsi="Times New Roman;serif"/>
          <w:b w:val="false"/>
          <w:color w:val="000000"/>
          <w:sz w:val="20"/>
          <w:shd w:fill="FFFFFF" w:val="clear"/>
        </w:rPr>
        <w:t xml:space="preserve">billion, representing a net income margin of </w:t>
      </w:r>
      <w:r>
        <w:rPr>
          <w:rFonts w:ascii="Times New Roman;serif" w:hAnsi="Times New Roman;serif"/>
          <w:b w:val="false"/>
          <w:color w:val="000000"/>
          <w:sz w:val="20"/>
        </w:rPr>
        <w:t>4.1%</w:t>
      </w:r>
      <w:r>
        <w:rPr>
          <w:color w:val="000000"/>
          <w:shd w:fill="FFFFFF" w:val="clear"/>
        </w:rPr>
        <w:t xml:space="preserve"> </w:t>
      </w:r>
      <w:r>
        <w:rPr>
          <w:rFonts w:ascii="Times New Roman;serif" w:hAnsi="Times New Roman;serif"/>
          <w:b w:val="false"/>
          <w:color w:val="000000"/>
          <w:sz w:val="20"/>
          <w:shd w:fill="FFFFFF" w:val="clear"/>
        </w:rPr>
        <w:t xml:space="preserve">and an Adjusted EBITDA Margin of </w:t>
      </w:r>
      <w:r>
        <w:rPr>
          <w:rFonts w:ascii="Times New Roman;serif" w:hAnsi="Times New Roman;serif"/>
          <w:b w:val="false"/>
          <w:color w:val="000000"/>
          <w:sz w:val="20"/>
        </w:rPr>
        <w:t>12.2%</w:t>
      </w:r>
      <w:r>
        <w:rPr>
          <w:rFonts w:ascii="Times New Roman;serif" w:hAnsi="Times New Roman;serif"/>
          <w:b w:val="false"/>
          <w:color w:val="000000"/>
          <w:sz w:val="20"/>
          <w:shd w:fill="FFFFFF" w:val="clear"/>
        </w:rPr>
        <w:t>.</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During that period, </w:t>
      </w:r>
      <w:r>
        <w:rPr>
          <w:rFonts w:ascii="Times New Roman;serif" w:hAnsi="Times New Roman;serif"/>
          <w:b w:val="false"/>
          <w:color w:val="000000"/>
          <w:sz w:val="20"/>
        </w:rPr>
        <w:t>Medline Brand segment net sales and Segment Adjusted EBITDA w</w:t>
      </w:r>
      <w:r>
        <w:rPr>
          <w:rFonts w:ascii="Times New Roman;serif" w:hAnsi="Times New Roman;serif"/>
          <w:b w:val="false"/>
          <w:color w:val="000000"/>
          <w:sz w:val="20"/>
          <w:shd w:fill="FFFFFF" w:val="clear"/>
        </w:rPr>
        <w:t>ere $13.7 b</w:t>
      </w:r>
      <w:r>
        <w:rPr>
          <w:rFonts w:ascii="Times New Roman;serif" w:hAnsi="Times New Roman;serif"/>
          <w:b w:val="false"/>
          <w:color w:val="000000"/>
          <w:sz w:val="20"/>
        </w:rPr>
        <w:t xml:space="preserve">illion and </w:t>
      </w:r>
      <w:r>
        <w:rPr>
          <w:rFonts w:ascii="Times New Roman;serif" w:hAnsi="Times New Roman;serif"/>
          <w:b w:val="false"/>
          <w:color w:val="000000"/>
          <w:sz w:val="20"/>
          <w:shd w:fill="FFFFFF" w:val="clear"/>
        </w:rPr>
        <w:t>$3.3</w:t>
      </w:r>
      <w:r>
        <w:rPr>
          <w:color w:val="000000"/>
        </w:rPr>
        <w:t xml:space="preserve"> </w:t>
      </w:r>
      <w:r>
        <w:rPr>
          <w:rFonts w:ascii="Times New Roman;serif" w:hAnsi="Times New Roman;serif"/>
          <w:b w:val="false"/>
          <w:color w:val="000000"/>
          <w:sz w:val="20"/>
        </w:rPr>
        <w:t xml:space="preserve">billion, respectively, which represented </w:t>
      </w:r>
      <w:r>
        <w:rPr>
          <w:rFonts w:ascii="Times New Roman;serif" w:hAnsi="Times New Roman;serif"/>
          <w:b w:val="false"/>
          <w:color w:val="000000"/>
          <w:sz w:val="20"/>
          <w:shd w:fill="FFFFFF" w:val="clear"/>
        </w:rPr>
        <w:t xml:space="preserve">48.3% of total net sales and 80.6% of Segment Adjusted EBITDA, respectively. </w:t>
      </w:r>
      <w:r>
        <w:rPr>
          <w:rFonts w:ascii="Times New Roman;serif" w:hAnsi="Times New Roman;serif"/>
          <w:b w:val="false"/>
          <w:color w:val="000000"/>
          <w:sz w:val="20"/>
        </w:rPr>
        <w:t>Supply Chain Solutions segment net sales and Segment Adjusted EBITDA we</w:t>
      </w:r>
      <w:r>
        <w:rPr>
          <w:rFonts w:ascii="Times New Roman;serif" w:hAnsi="Times New Roman;serif"/>
          <w:b w:val="false"/>
          <w:color w:val="000000"/>
          <w:sz w:val="20"/>
          <w:shd w:fill="FFFFFF" w:val="clear"/>
        </w:rPr>
        <w:t>re $14.7 bi</w:t>
      </w:r>
      <w:r>
        <w:rPr>
          <w:rFonts w:ascii="Times New Roman;serif" w:hAnsi="Times New Roman;serif"/>
          <w:b w:val="false"/>
          <w:color w:val="000000"/>
          <w:sz w:val="20"/>
        </w:rPr>
        <w:t xml:space="preserve">llion and </w:t>
      </w:r>
      <w:r>
        <w:rPr>
          <w:rFonts w:ascii="Times New Roman;serif" w:hAnsi="Times New Roman;serif"/>
          <w:b w:val="false"/>
          <w:color w:val="000000"/>
          <w:sz w:val="20"/>
          <w:shd w:fill="FFFFFF" w:val="clear"/>
        </w:rPr>
        <w:t>$0.8</w:t>
      </w:r>
      <w:r>
        <w:rPr>
          <w:color w:val="000000"/>
        </w:rPr>
        <w:t xml:space="preserve"> </w:t>
      </w:r>
      <w:r>
        <w:rPr>
          <w:rFonts w:ascii="Times New Roman;serif" w:hAnsi="Times New Roman;serif"/>
          <w:b w:val="false"/>
          <w:color w:val="000000"/>
          <w:sz w:val="20"/>
        </w:rPr>
        <w:t xml:space="preserve">billion, respectively, which represented </w:t>
      </w:r>
      <w:r>
        <w:rPr>
          <w:rFonts w:ascii="Times New Roman;serif" w:hAnsi="Times New Roman;serif"/>
          <w:b w:val="false"/>
          <w:color w:val="000000"/>
          <w:sz w:val="20"/>
          <w:shd w:fill="FFFFFF" w:val="clear"/>
        </w:rPr>
        <w:t>51.7% of total net sales and 19.4% of Segment Adjusted EBITDA,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reconciliation of Adjusted EBITDA and Adjusted EBITDA Margin to the most directly comparable GAAP financial measures, information about why we consider Adjusted EBITDA and Adjusted EBITDA Margin useful, and a discussion of the material risks and limitations of these measures, see “—Non-GAAP Financial Information”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Key Factors and Trends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Aging Population and Increased Healthcare Utilization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operate against a backdrop of stable demographic and healthcare utilization trends, including an aging population and the growing prevalence of chronic conditions, which are expected to drive elevated volumes, steady demand for med-surg products, and increased health expenditures over the long term. As our customers’ underlying patient volumes increase, we expect continued demand for our broad portfolio of products across the continuum of care.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End Market Dynamics Including Shifting Sites of Care and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positively impacted by the ongoing shift of higher acuity procedures to lower-cost sites of care and consolidation of healthcare providers into IDNs. These factors have led to increased volumes across non-acute care delivery settings and drive customers to seek partners with reliable manufacturing and distribution capabilities who can serve their various end markets. Because of our comprehensive capabilities and offerings, we view these industry changes as advantageous and reflective of the broad strengths embedded in our business model. By continuing to enhance our product portfolio and tailor our service offerings, we aim to expand the value we provide to our customers across the entire continuum of care.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95250"/>
                <wp:effectExtent l="0" t="0" r="0" b="0"/>
                <wp:wrapNone/>
                <wp:docPr id="63" name="Frame6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Prime Vendor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historical track record of earning new Prime Vendor customers has been a key driver of sustained growth and share gains for Medline. Our differentiated capabilities have enabled us to grow and scale our Prime Vendor model over time. As of December 31, 2025, we have over 1,600 Prime Vendor relationships, representing $18.0 billion of net sales for the year ended December 31, 2025. Our Prime Vendor relationships, combined with our strong customer retention, supports a highly recurring business model.</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Non-Prime Vendor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 base includes those who purchase products through us but with whom we do not currently have a Prime Vendor relationship. We expect Medline Brand net sales to non-Prime Vendor customers to continue to grow as we deepen our relationships with these customers and expand our Medline Brand product portfolio. Furthermore, we believe as these customers recognize the value proposition of our Medline Brand and distribution network, we will have the opportunity to earn Prime Vendor agreements from them.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Medline Brand Growth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ability to sell Medline Brand products has impacted and will continue to impact our financial performance. These products represent approximately 50% of our net sales for the fiscal year ending December 31, 2025, or </w:t>
      </w:r>
      <w:r>
        <w:rPr>
          <w:rFonts w:ascii="Times New Roman;serif" w:hAnsi="Times New Roman;serif"/>
          <w:b w:val="false"/>
          <w:color w:val="000000"/>
          <w:sz w:val="20"/>
          <w:shd w:fill="FFFFFF" w:val="clear"/>
        </w:rPr>
        <w:t>$13.7</w:t>
      </w:r>
      <w:r>
        <w:rPr>
          <w:color w:val="000000"/>
        </w:rPr>
        <w:t xml:space="preserve"> </w:t>
      </w:r>
      <w:r>
        <w:rPr>
          <w:rFonts w:ascii="Times New Roman;serif" w:hAnsi="Times New Roman;serif"/>
          <w:b w:val="false"/>
          <w:color w:val="000000"/>
          <w:sz w:val="20"/>
        </w:rPr>
        <w:t xml:space="preserve">billion. The product categories that comprise our Medline Brand offerings serve large and diversified med-surg markets, which provide meaningful long-term growth opportunities relative to our current net sales volume.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sell these Medline Brand products to both our Prime Vendor and non-Prime Vendor customers. As of December 31, 2025, our Prime Vendor agreements have an approximate average mix of 65%</w:t>
      </w:r>
      <w:r>
        <w:rPr>
          <w:color w:val="000000"/>
          <w:shd w:fill="FFFFFF" w:val="clear"/>
        </w:rPr>
        <w:t xml:space="preserve"> </w:t>
      </w:r>
      <w:r>
        <w:rPr>
          <w:rFonts w:ascii="Times New Roman;serif" w:hAnsi="Times New Roman;serif"/>
          <w:b w:val="false"/>
          <w:color w:val="000000"/>
          <w:sz w:val="20"/>
        </w:rPr>
        <w:t>Supply Chain Solutions and 35% Medline Brand, presenting a significant opportunity to drive customer savings through further Medline Brand adoption in the years ahead. A portion of Supply Chain Solutions products sold to existing Prime Vendor customers has like-for-like Medline Brand product equivalents, representing a potential gross profit uplift if such products were converted for Medline Brand products.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relies on actively gathering and incorporating customer feedback to address their needs. By carefully examining customer pain points, our teams are encouraged to respond with well-informed product innovations that address these issues directly and effectively. Close collaboration across product teams, salesforce and regulatory experts supports our ability to introduce high-quality products that meet customers’ needs. Our scaled go-to-market strategy and entrepreneurial culture allows us to quickly introduce new products across our customer base and serve as a dependable partner and resource for our customers, increasing the likelihood of commercial success. This collaborative approach has been well received by customers and has facilitated the development of robust relationships with customers. It supports the customer retention and conversion to available like-for-like Medline Brand products.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Mergers and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disciplined, global mergers and acquisitions strategy is focused on pursuing adjacent products and services as well as expanding into new channels and new markets. During 2024, we acquired the global surgical solutions business of Ecolab, Inc., including industry-leading Microtek product lines (“Microtek”), and Sinclair Dental Co. Ltd (“Sinclair”), the largest independent distributor of dental supplies and equipment in Canada. The acquisition of the Microtek business provides us with innovative sterile drape solutions for surgeons, patients, and operating room equipment, as well as Ecolab’s fluid temperature management system. The acquisition of Sinclair helps diversify our dental products portfolio and expand our footprint in Canada.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industry consolidation continues, we believe we are well-positioned to capitalize on this trend to continue to grow and gain share in this global market. See Part I, “Item 1A—Risk Factors—Risks Related to Our Business, Industry and Operations—We may be unable to derive fully the anticipated benefits from our existing or future acquisitions, joint ventures, investments, dispositions, or other strategic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95250"/>
                <wp:effectExtent l="0" t="0" r="0" b="0"/>
                <wp:wrapNone/>
                <wp:docPr id="64" name="Frame6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Trade Relations and Impacts of Tariffs on our Business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current U.S. and international political environment, including existing and potential changes to U.S. policies related to global trade and tariffs, have resulted in uncertainty surrounding the future state of the global economy. While the global tariff environment is unpredictable, as a global company with strategically located and owned manufacturing, combined with a broadly diversified sourcing footprint, we believe we are well-positioned to mitigate potential supply chain challenges. We have multiple mitigation levers at our disposal, which include strategically re-allocating production to other parts of the world, leveraging our new and existing supplier base, optimizing procurement and sourcing of key inputs and raw materials, driving efficiencies and optimizing our own manufacturing footprint, pursuing available tariff mitigation measures, such as qualified exclusions, engaging with relevant industry and policy partners, and lastly, enacting selective price increases in a thoughtful and strategic way where needed. For the year ended December 31, 2025, the net adverse impact to income before taxes from tariffs and tariff developments was approxima</w:t>
      </w:r>
      <w:r>
        <w:rPr>
          <w:rFonts w:ascii="Times New Roman;serif" w:hAnsi="Times New Roman;serif"/>
          <w:b w:val="false"/>
          <w:color w:val="000000"/>
          <w:sz w:val="20"/>
          <w:shd w:fill="FFFFFF" w:val="clear"/>
        </w:rPr>
        <w:t xml:space="preserve">tely $290 million. For </w:t>
      </w:r>
      <w:r>
        <w:rPr>
          <w:rFonts w:ascii="Times New Roman;serif" w:hAnsi="Times New Roman;serif"/>
          <w:b w:val="false"/>
          <w:color w:val="000000"/>
          <w:sz w:val="20"/>
        </w:rPr>
        <w:t xml:space="preserve">fiscal year 2026, we estimate an incremental net adverse impact to income before taxes from tariffs and tariff developments (based upon the latest published tariffs in effect and tariff-related developments as of December 31, 2025) of approximately $200 million. The actual impact may vary based on changes in tariff rates, duration of tariffs, scope of tariffs, and potential mitigation levers.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actively monitoring developments in the global tariff environment and will continue to evaluate the potential impact of the announced tariffs and related developments on our business and financial condition, as well as on our customers and suppliers, and the actions we may take to mitigate any impact. We have taken steps to establish alternative sources of supply and to otherwise mitigate the financial impact of tariffs. However, we may not be able to establish alternative sources of supply or fully mitigate the financial impact of tariffs across all of the products we source or manufacture.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Cost and Supply Chain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impacted by supply chain disruptions, including but not limited to labor shortages, raw material shortages, and third-party supplier issues. Additionally, inflation has had, and may continue to have, a material impact on the cost to source materials or produce and distribute finished goods to customers. In these periods of disruption, our costs typically increase, and our operations may be constrained. While these factors can impact profitability, we have established the capabilities and infrastructure designed to mitigate the associated impact on our financial performance. Our globally diversified sourcing partnerships, robust domestic manufacturing footprint, and owned distribution network are designed to enable us to provide reliable product availability and maintain competitive pricing, supporting our strong customer service levels.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Seasonal factors inherent in our business change the demand for products, including illness or disease patterns, the timing of elective medical procedures, and customer spending patterns. Historically, we have experienced higher net sales in the fourth quarter as a result of certain of these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IPO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we completed our IPO of 248,439,654 shares of Class A common stock, including 32,405,172 shares issued pursuant to the full exercise of the underwriters’ option to purchase additional shares, at a price to the public of $29.00 per share. Our Class A common stock began trading on the Nasdaq Global Select Market under the trading symbol “MDLN” on December 17, 2025. The IPO generated net proceeds of approximately $7,048 million after deducting underwriting discounts and commissions of approximately $157 million, but before deducting offering expenses of approximately $40 million. See Note 1—Nature of Business and Significant Accounting Policies to our audited consolidated financial statements, included under Part II, “Item 8—Financial Statements and Supplementary Data" of this Annual Report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95250"/>
                <wp:effectExtent l="0" t="0" r="0" b="0"/>
                <wp:wrapNone/>
                <wp:docPr id="65" name="Frame6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Public Company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incurred additional costs associated with preparing to become a public company during fiscal years 2025 and 2024, and we expect to continue to incur additional costs associated with operating as a public company. We expect that these costs will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practices that were not inapplicable to us as a private company. These additional rules and regulations will increase our legal, regulatory, financial, and insurance compliance costs and will make some activities more time-consuming and costly.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Reorganization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completion of the IPO, we executed the Reorganization, resulting in Medline Inc. becoming the sole general partner of Medline Holdings, with its sole material asset being a controlling equity interest in Medline Holdings. As the general partner of Medline Holdings, Medline Inc. now operates and controls all of the business and affairs of Medline Holdings, and has the obligation to absorb losses and receive benefits from Medline Holdings and, through Medline Holdings and its subsidiaries, operate the business. The Reorganization has been accounted for as a reorganization of entities under common control. As a result, the consolidated financial statements of Medline Inc. recognize the assets and liabilities received in the Reorganization at their historical carrying amounts, as presented in the historical financial statements of Medline Holdings. Medline Inc. consolidates Medline Holdings on its consolidated financial statements and records a noncontrolling interest, which pertains to partnership interests in Medline Holdings held by pre-IPO owners.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Medline Inc. is a corporation for U.S. federal and state income tax purposes. Medline Holdings is treated as a flow-through entity for U.S. federal and state income tax purposes, and, as such, has generally not been subject to U.S. federal income tax at the entity level. Accordingly, unless otherwise specified, the historical results of operations and other financial information set forth in this Annual Report do not include any provision for U.S. federal income tax for Medline Holdings except with respect to subsidiary corporations that are subject to U.S. federal income tax. Following the IPO, Medline Inc. is required to pay U.S. federal and state income taxes as a corporation on its share of Medline Holdings’ taxable income. </w:t>
      </w:r>
    </w:p>
    <w:p>
      <w:pPr>
        <w:pStyle w:val="TextBody"/>
        <w:bidi w:val="0"/>
        <w:spacing w:before="0" w:after="0"/>
        <w:ind w:left="0" w:right="0" w:firstLine="4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and the IPO, we also entered into a tax receivable agreement with certain pre-IPO owners. See “—Liquidity and Capital Resources—Tax Receivable Agreement”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Key Components of Our Results of Operations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net sales principally from the sales of products. The majority of the sales transactions are supported by an underlying agreement or a formal purchase order. Net sales are recognized with the transfer of control that is generally when a product is shipped to a customer, the customer has legal title to the product, and we have a right to payment for such product. Although products are generally sold at fixed prices, our contracts have variable consideration, which we estimate at the point when net sales are recognized, based on the expected value to be provided to the customer.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goods sold consists of product costs, including the cost of materials, direct and indirect labor costs, overhead, depreciation of manufacturing assets, inbound shipping and handling costs, and import expenses, net of any applicable third-party supplier rebates.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include corporate management and support functions, such as general management, legal, accounting, finance, human resources, sales, marketing, and other functions not directly associated with net sales generating activities. SG&amp;A expenses include salaries, bonuses and other payroll-related benefits, general operating expenses such as occupancy costs, information technology infrastructure, travel, outbound freight, advertising, research and development, marketing expenses, and credit losses.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95250"/>
                <wp:effectExtent l="0" t="0" r="0" b="0"/>
                <wp:wrapNone/>
                <wp:docPr id="66" name="Frame6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Intangible assets are initially measured at fair value and consist of trade names, customer relationships, and developed technology from acquisitions. The definite lived intangible assets are amortized using the straight-line method over their estimated useful lives.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Operating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operating expenses includes restructuring costs, impairment, litigation settlement charges, loss (gain) on sale of assets, acquisition-related costs, and costs incurred in contemplation of a potential offering of company shares.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includes interest expense incurred on borrowings, amortization expense of deferred financing costs, and gain or loss from cash flow hedge transactions, as well as interest income generated on recognition of an embedded derivative bifurcated from the credit agreement, overdue customer receivable balances, bank deposits, and money market investments.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 net includes investment income or loss from market value changes on undesignated derivatives, pro-rata income or loss of equity investment, debt extinguishment loss, debt refinancing/issuance cost, and other non-operating income or expense.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Foreign Exchange (Loss) Gain,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Foreign exchange (loss) gain, net is generated by trade balances and loans denominated in currencies other than U.S. dollars, the reporting currency, as well as settlements of intercompany balances.</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Provision for 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income taxes related to our U.S. corporate and foreign subsidiaries in jurisdictions in which we conduct business. The majority of our income is generated within U.S. pass-through entities, in which federal and some state income taxes are not assessed at the entity level. As such, our effective tax rate will vary based on the level of income earned by tax paying and non-tax paying entities as well as the geographic mix of profits and other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represents our analysis of results of operations for the year ended December 31, 2025 as compared to the year ended December 31, 2024. For a detailed discussion of our results of operations for the year ended December 31, 2024 as compared to the year ended December 31, 2023, refer to the section Management’s Discussion and Analysis of Financial Condition and Results of Operations in our prospectus dated December 16, 2025, filed with the SEC pursuant to Rule 424(b) under the Securities Act on December 18, 2025 in connection with our IPO, which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95250"/>
                <wp:effectExtent l="0" t="0" r="0" b="0"/>
                <wp:wrapNone/>
                <wp:docPr id="67" name="Frame6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 the year ended December 31, 2025 compared to the year ended December 31, 2024</w:t>
      </w:r>
    </w:p>
    <w:tbl>
      <w:tblPr>
        <w:tblW w:w="10205" w:type="dxa"/>
        <w:jc w:val="center"/>
        <w:tblInd w:w="0" w:type="dxa"/>
        <w:tblLayout w:type="fixed"/>
        <w:tblCellMar>
          <w:top w:w="28" w:type="dxa"/>
          <w:left w:w="28" w:type="dxa"/>
          <w:bottom w:w="28" w:type="dxa"/>
          <w:right w:w="28" w:type="dxa"/>
        </w:tblCellMar>
      </w:tblPr>
      <w:tblGrid>
        <w:gridCol w:w="799"/>
        <w:gridCol w:w="638"/>
        <w:gridCol w:w="640"/>
        <w:gridCol w:w="109"/>
        <w:gridCol w:w="109"/>
        <w:gridCol w:w="109"/>
        <w:gridCol w:w="109"/>
        <w:gridCol w:w="109"/>
        <w:gridCol w:w="109"/>
        <w:gridCol w:w="109"/>
        <w:gridCol w:w="109"/>
        <w:gridCol w:w="109"/>
        <w:gridCol w:w="109"/>
        <w:gridCol w:w="109"/>
        <w:gridCol w:w="1126"/>
        <w:gridCol w:w="232"/>
        <w:gridCol w:w="1125"/>
        <w:gridCol w:w="109"/>
        <w:gridCol w:w="369"/>
        <w:gridCol w:w="299"/>
        <w:gridCol w:w="302"/>
        <w:gridCol w:w="109"/>
        <w:gridCol w:w="109"/>
        <w:gridCol w:w="109"/>
        <w:gridCol w:w="358"/>
        <w:gridCol w:w="298"/>
        <w:gridCol w:w="303"/>
        <w:gridCol w:w="109"/>
        <w:gridCol w:w="109"/>
        <w:gridCol w:w="109"/>
        <w:gridCol w:w="196"/>
        <w:gridCol w:w="556"/>
        <w:gridCol w:w="109"/>
        <w:gridCol w:w="109"/>
        <w:gridCol w:w="109"/>
        <w:gridCol w:w="109"/>
        <w:gridCol w:w="175"/>
        <w:gridCol w:w="159"/>
        <w:gridCol w:w="232"/>
      </w:tblGrid>
      <w:tr>
        <w:trPr/>
        <w:tc>
          <w:tcPr>
            <w:tcW w:w="79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12"/>
            <w:tcBorders/>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2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 vs 2024</w:t>
            </w:r>
          </w:p>
        </w:tc>
        <w:tc>
          <w:tcPr>
            <w:tcW w:w="2081" w:type="dxa"/>
            <w:gridSpan w:val="12"/>
            <w:tcBorders/>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
              <w:jc w:val="left"/>
              <w:rPr>
                <w:rFonts w:ascii="Times New Roman;serif" w:hAnsi="Times New Roman;serif"/>
                <w:b w:val="false"/>
                <w:color w:val="000000"/>
                <w:sz w:val="18"/>
              </w:rPr>
            </w:pPr>
            <w:r>
              <w:rPr>
                <w:rFonts w:ascii="Times New Roman;serif" w:hAnsi="Times New Roman;serif"/>
                <w:b w:val="false"/>
                <w:color w:val="000000"/>
                <w:sz w:val="18"/>
              </w:rPr>
              <w:t>% Change</w:t>
            </w:r>
          </w:p>
        </w:tc>
        <w:tc>
          <w:tcPr>
            <w:tcW w:w="2081" w:type="dxa"/>
            <w:gridSpan w:val="12"/>
            <w:tcBorders/>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11.5%</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12.9%</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9.9%</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48.8%</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exchange (loss)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0.2%</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97.8%</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r>
    </w:tbl>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Net sales for the year ended December 31, 2025 increased </w:t>
      </w:r>
      <w:r>
        <w:rPr>
          <w:rFonts w:ascii="Times New Roman;serif" w:hAnsi="Times New Roman;serif"/>
          <w:b w:val="false"/>
          <w:color w:val="000000"/>
          <w:sz w:val="20"/>
        </w:rPr>
        <w:t>$2,925</w:t>
      </w:r>
      <w:r>
        <w:rPr>
          <w:color w:val="000000"/>
          <w:shd w:fill="FFFFFF" w:val="clear"/>
        </w:rPr>
        <w:t xml:space="preserve"> </w:t>
      </w:r>
      <w:r>
        <w:rPr>
          <w:rFonts w:ascii="Times New Roman;serif" w:hAnsi="Times New Roman;serif"/>
          <w:b w:val="false"/>
          <w:color w:val="000000"/>
          <w:sz w:val="20"/>
          <w:shd w:fill="FFFFFF" w:val="clear"/>
        </w:rPr>
        <w:t xml:space="preserve">million, or </w:t>
      </w:r>
      <w:r>
        <w:rPr>
          <w:rFonts w:ascii="Times New Roman;serif" w:hAnsi="Times New Roman;serif"/>
          <w:b w:val="false"/>
          <w:color w:val="000000"/>
          <w:sz w:val="20"/>
        </w:rPr>
        <w:t>11.5%</w:t>
      </w:r>
      <w:r>
        <w:rPr>
          <w:rFonts w:ascii="Times New Roman;serif" w:hAnsi="Times New Roman;serif"/>
          <w:b w:val="false"/>
          <w:color w:val="000000"/>
          <w:sz w:val="20"/>
          <w:shd w:fill="FFFFFF" w:val="clear"/>
        </w:rPr>
        <w:t xml:space="preserve">, to </w:t>
      </w:r>
      <w:r>
        <w:rPr>
          <w:rFonts w:ascii="Times New Roman;serif" w:hAnsi="Times New Roman;serif"/>
          <w:b w:val="false"/>
          <w:color w:val="000000"/>
          <w:sz w:val="20"/>
        </w:rPr>
        <w:t>$28,432</w:t>
      </w:r>
      <w:r>
        <w:rPr>
          <w:color w:val="000000"/>
          <w:shd w:fill="FFFFFF" w:val="clear"/>
        </w:rPr>
        <w:t xml:space="preserve"> </w:t>
      </w:r>
      <w:r>
        <w:rPr>
          <w:rFonts w:ascii="Times New Roman;serif" w:hAnsi="Times New Roman;serif"/>
          <w:b w:val="false"/>
          <w:color w:val="000000"/>
          <w:sz w:val="20"/>
          <w:shd w:fill="FFFFFF" w:val="clear"/>
        </w:rPr>
        <w:t>million, compared to $25,507 million for the respective period in 2024. Net sales for the year ended December 31, 2025 increased $2,676 million, or 10.5% from organic growth and $237 million, or 0.9% from acquisitions with foreign currency exchange rates having an immaterial impact on net sales. Organic net sales growth was substantially all related to increased volumes with pricing having an immaterial impact.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Net sales for the </w:t>
      </w:r>
      <w:r>
        <w:rPr>
          <w:rFonts w:ascii="Times New Roman;serif" w:hAnsi="Times New Roman;serif"/>
          <w:b w:val="false"/>
          <w:color w:val="000000"/>
          <w:sz w:val="20"/>
        </w:rPr>
        <w:t xml:space="preserve">U.S. business for the year ended December 31, 2025 increased $2,732 million, or 11.5%, to $26,479 million, compared to $23,747 million for the respective period in 2024, primarily driven </w:t>
      </w:r>
      <w:r>
        <w:rPr>
          <w:rFonts w:ascii="Times New Roman;serif" w:hAnsi="Times New Roman;serif"/>
          <w:b w:val="false"/>
          <w:color w:val="000000"/>
          <w:sz w:val="20"/>
          <w:shd w:fill="FFFFFF" w:val="clear"/>
        </w:rPr>
        <w:t xml:space="preserve">by volume growth in Prime Vendor net sales, which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increased </w:t>
      </w:r>
      <w:r>
        <w:rPr>
          <w:rFonts w:ascii="Times New Roman;serif" w:hAnsi="Times New Roman;serif"/>
          <w:b w:val="false"/>
          <w:color w:val="000000"/>
          <w:sz w:val="20"/>
        </w:rPr>
        <w:t>$2,000</w:t>
      </w:r>
      <w:r>
        <w:rPr>
          <w:color w:val="000000"/>
          <w:shd w:fill="FFFFFF" w:val="clear"/>
        </w:rPr>
        <w:t xml:space="preserve"> </w:t>
      </w:r>
      <w:r>
        <w:rPr>
          <w:rFonts w:ascii="Times New Roman;serif" w:hAnsi="Times New Roman;serif"/>
          <w:b w:val="false"/>
          <w:color w:val="000000"/>
          <w:sz w:val="20"/>
          <w:shd w:fill="FFFFFF" w:val="clear"/>
        </w:rPr>
        <w:t xml:space="preserve">million, or </w:t>
      </w:r>
      <w:r>
        <w:rPr>
          <w:rFonts w:ascii="Times New Roman;serif" w:hAnsi="Times New Roman;serif"/>
          <w:b w:val="false"/>
          <w:color w:val="000000"/>
          <w:sz w:val="20"/>
        </w:rPr>
        <w:t>12.5%</w:t>
      </w:r>
      <w:r>
        <w:rPr>
          <w:rFonts w:ascii="Times New Roman;serif" w:hAnsi="Times New Roman;serif"/>
          <w:b w:val="false"/>
          <w:color w:val="000000"/>
          <w:sz w:val="20"/>
          <w:shd w:fill="FFFFFF" w:val="clear"/>
        </w:rPr>
        <w:t xml:space="preserve">, to </w:t>
      </w:r>
      <w:r>
        <w:rPr>
          <w:rFonts w:ascii="Times New Roman;serif" w:hAnsi="Times New Roman;serif"/>
          <w:b w:val="false"/>
          <w:color w:val="000000"/>
          <w:sz w:val="20"/>
        </w:rPr>
        <w:t>$18,033</w:t>
      </w:r>
      <w:r>
        <w:rPr>
          <w:color w:val="000000"/>
          <w:shd w:fill="FFFFFF" w:val="clear"/>
        </w:rPr>
        <w:t xml:space="preserve"> </w:t>
      </w:r>
      <w:r>
        <w:rPr>
          <w:rFonts w:ascii="Times New Roman;serif" w:hAnsi="Times New Roman;serif"/>
          <w:b w:val="false"/>
          <w:color w:val="000000"/>
          <w:sz w:val="20"/>
          <w:shd w:fill="FFFFFF" w:val="clear"/>
        </w:rPr>
        <w:t>million, co</w:t>
      </w:r>
      <w:r>
        <w:rPr>
          <w:rFonts w:ascii="Times New Roman;serif" w:hAnsi="Times New Roman;serif"/>
          <w:b w:val="false"/>
          <w:color w:val="000000"/>
          <w:sz w:val="20"/>
        </w:rPr>
        <w:t>mpared to $16,033 mi</w:t>
      </w:r>
      <w:r>
        <w:rPr>
          <w:rFonts w:ascii="Times New Roman;serif" w:hAnsi="Times New Roman;serif"/>
          <w:b w:val="false"/>
          <w:color w:val="000000"/>
          <w:sz w:val="20"/>
          <w:shd w:fill="FFFFFF" w:val="clear"/>
        </w:rPr>
        <w:t>llion for the respective period in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increase in Prime Vendor net sales was comprised primarily of $1,229 million related to new Prime Vendor relationships and $998 million related to existing Prime Vendor relationships, partially offset by a decrease of $227 million related to lost Prime Vendor relationships. Acquisitions also contributed </w:t>
      </w:r>
      <w:r>
        <w:rPr>
          <w:rFonts w:ascii="Times New Roman;serif" w:hAnsi="Times New Roman;serif"/>
          <w:b w:val="false"/>
          <w:color w:val="000000"/>
          <w:sz w:val="20"/>
          <w:shd w:fill="FFFFFF" w:val="clear"/>
        </w:rPr>
        <w:t>$189</w:t>
      </w:r>
      <w:r>
        <w:rPr>
          <w:color w:val="000000"/>
        </w:rPr>
        <w:t xml:space="preserve"> </w:t>
      </w:r>
      <w:r>
        <w:rPr>
          <w:rFonts w:ascii="Times New Roman;serif" w:hAnsi="Times New Roman;serif"/>
          <w:b w:val="false"/>
          <w:color w:val="000000"/>
          <w:sz w:val="20"/>
        </w:rPr>
        <w:t xml:space="preserve">million incremental net sales in 2025. Net sales for the U.S. acute care business, which includes both Prime Vendor and non-Prime Vendor customers, increased $2,015 million, or 11.5%, to $19,506 million, compared to $17,491 million for the respective period in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primarily driven by</w:t>
      </w:r>
      <w:r>
        <w:rPr>
          <w:color w:val="000000"/>
          <w:shd w:fill="FFFFFF" w:val="clear"/>
        </w:rPr>
        <w:t xml:space="preserve"> </w:t>
      </w:r>
      <w:r>
        <w:rPr>
          <w:rFonts w:ascii="Times New Roman;serif" w:hAnsi="Times New Roman;serif"/>
          <w:b w:val="false"/>
          <w:color w:val="000000"/>
          <w:sz w:val="20"/>
          <w:shd w:fill="FFFFFF" w:val="clear"/>
        </w:rPr>
        <w:t>volume growth. Net sales for the U.S. n</w:t>
      </w:r>
      <w:r>
        <w:rPr>
          <w:rFonts w:ascii="Times New Roman;serif" w:hAnsi="Times New Roman;serif"/>
          <w:b w:val="false"/>
          <w:color w:val="000000"/>
          <w:sz w:val="20"/>
        </w:rPr>
        <w:t xml:space="preserve">on-acute care business increased $717 million, or 11.5%, to $6,973 million, compared to $6,256 million for the respective period in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primarily driven by</w:t>
      </w:r>
      <w:r>
        <w:rPr>
          <w:color w:val="000000"/>
          <w:shd w:fill="FFFFFF" w:val="clear"/>
        </w:rPr>
        <w:t xml:space="preserve"> </w:t>
      </w:r>
      <w:r>
        <w:rPr>
          <w:rFonts w:ascii="Times New Roman;serif" w:hAnsi="Times New Roman;serif"/>
          <w:b w:val="false"/>
          <w:color w:val="000000"/>
          <w:sz w:val="20"/>
          <w:shd w:fill="FFFFFF" w:val="clear"/>
        </w:rPr>
        <w:t>volume growth in post-acute care business of $290 million, physician offices of $218 million, and ambulatory surgical centers of $117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Net sales for the </w:t>
      </w:r>
      <w:r>
        <w:rPr>
          <w:rFonts w:ascii="Times New Roman;serif" w:hAnsi="Times New Roman;serif"/>
          <w:b w:val="false"/>
          <w:color w:val="000000"/>
          <w:sz w:val="20"/>
        </w:rPr>
        <w:t>International business for the year ended December 31, 2025 increased $193 million, or 11.0%, to $1,953 million, compared to $1,760 million for the respective period in 2024, primarily driven by volume growth. Organic growth and acquisitions contributed $133</w:t>
      </w:r>
      <w:r>
        <w:rPr>
          <w:color w:val="000000"/>
          <w:shd w:fill="FFFFFF" w:val="clear"/>
        </w:rPr>
        <w:t xml:space="preserve"> </w:t>
      </w:r>
      <w:r>
        <w:rPr>
          <w:rFonts w:ascii="Times New Roman;serif" w:hAnsi="Times New Roman;serif"/>
          <w:b w:val="false"/>
          <w:color w:val="000000"/>
          <w:sz w:val="20"/>
          <w:shd w:fill="FFFFFF" w:val="clear"/>
        </w:rPr>
        <w:t xml:space="preserve">million and </w:t>
      </w:r>
      <w:r>
        <w:rPr>
          <w:rFonts w:ascii="Times New Roman;serif" w:hAnsi="Times New Roman;serif"/>
          <w:b w:val="false"/>
          <w:color w:val="000000"/>
          <w:sz w:val="20"/>
        </w:rPr>
        <w:t>$48</w:t>
      </w:r>
      <w:r>
        <w:rPr>
          <w:color w:val="000000"/>
          <w:shd w:fill="FFFFFF" w:val="clear"/>
        </w:rPr>
        <w:t xml:space="preserve"> </w:t>
      </w:r>
      <w:r>
        <w:rPr>
          <w:rFonts w:ascii="Times New Roman;serif" w:hAnsi="Times New Roman;serif"/>
          <w:b w:val="false"/>
          <w:color w:val="000000"/>
          <w:sz w:val="20"/>
          <w:shd w:fill="FFFFFF" w:val="clear"/>
        </w:rPr>
        <w:t>m</w:t>
      </w:r>
      <w:r>
        <w:rPr>
          <w:rFonts w:ascii="Times New Roman;serif" w:hAnsi="Times New Roman;serif"/>
          <w:b w:val="false"/>
          <w:color w:val="000000"/>
          <w:sz w:val="20"/>
        </w:rPr>
        <w:t>illion of incremental net sales, respectively, for the year ended December 31, 2025</w:t>
      </w:r>
      <w:r>
        <w:rPr>
          <w:rFonts w:ascii="Times New Roman;serif" w:hAnsi="Times New Roman;serif"/>
          <w:b w:val="false"/>
          <w:color w:val="000000"/>
          <w:sz w:val="20"/>
          <w:shd w:fill="FFFFFF" w:val="clear"/>
        </w:rPr>
        <w:t>, with foreign currency exchange rates having an immaterial impact.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95250"/>
                <wp:effectExtent l="0" t="0" r="0" b="0"/>
                <wp:wrapNone/>
                <wp:docPr id="68" name="Frame6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Cost of goods sold for the year ended December 31, 2025 increased </w:t>
      </w:r>
      <w:r>
        <w:rPr>
          <w:rFonts w:ascii="Times New Roman;serif" w:hAnsi="Times New Roman;serif"/>
          <w:b w:val="false"/>
          <w:color w:val="000000"/>
          <w:sz w:val="20"/>
        </w:rPr>
        <w:t>$2,383</w:t>
      </w:r>
      <w:r>
        <w:rPr>
          <w:color w:val="000000"/>
          <w:shd w:fill="FFFFFF" w:val="clear"/>
        </w:rPr>
        <w:t xml:space="preserve"> </w:t>
      </w:r>
      <w:r>
        <w:rPr>
          <w:rFonts w:ascii="Times New Roman;serif" w:hAnsi="Times New Roman;serif"/>
          <w:b w:val="false"/>
          <w:color w:val="000000"/>
          <w:sz w:val="20"/>
          <w:shd w:fill="FFFFFF" w:val="clear"/>
        </w:rPr>
        <w:t xml:space="preserve">million, or </w:t>
      </w:r>
      <w:r>
        <w:rPr>
          <w:rFonts w:ascii="Times New Roman;serif" w:hAnsi="Times New Roman;serif"/>
          <w:b w:val="false"/>
          <w:color w:val="000000"/>
          <w:sz w:val="20"/>
        </w:rPr>
        <w:t>12.9%</w:t>
      </w:r>
      <w:r>
        <w:rPr>
          <w:rFonts w:ascii="Times New Roman;serif" w:hAnsi="Times New Roman;serif"/>
          <w:b w:val="false"/>
          <w:color w:val="000000"/>
          <w:sz w:val="20"/>
          <w:shd w:fill="FFFFFF" w:val="clear"/>
        </w:rPr>
        <w:t>, to $20,914 million, compared to $18,531 million for the respective period in 2024, primarily driven by the growth in net sales, including the impact of acquisitions as noted above. Gross profit margin was impacted negatively by sales to new Prime Vendor customers that typically have lower margins in early periods and impacted positively by increased sales to existin</w:t>
      </w:r>
      <w:r>
        <w:rPr>
          <w:rFonts w:ascii="Times New Roman;serif" w:hAnsi="Times New Roman;serif"/>
          <w:b w:val="false"/>
          <w:color w:val="000000"/>
          <w:sz w:val="20"/>
        </w:rPr>
        <w:t>g Prime Vendor customers as we shift sales from Supply Chain S</w:t>
      </w:r>
      <w:r>
        <w:rPr>
          <w:rFonts w:ascii="Times New Roman;serif" w:hAnsi="Times New Roman;serif"/>
          <w:b w:val="false"/>
          <w:color w:val="000000"/>
          <w:sz w:val="20"/>
          <w:shd w:fill="FFFFFF" w:val="clear"/>
        </w:rPr>
        <w:t>olutions third-party national brand products to Medline Brand products. Gross profit as a percentage of sales decreased fr</w:t>
      </w:r>
      <w:r>
        <w:rPr>
          <w:rFonts w:ascii="Times New Roman;serif" w:hAnsi="Times New Roman;serif"/>
          <w:b w:val="false"/>
          <w:color w:val="000000"/>
          <w:sz w:val="20"/>
        </w:rPr>
        <w:t>om 27.3% for the year ended December 31, 2024 to 26.4% for the year ended December 31, 2025</w:t>
      </w:r>
      <w:r>
        <w:rPr>
          <w:rFonts w:ascii="Times New Roman;serif" w:hAnsi="Times New Roman;serif"/>
          <w:b w:val="false"/>
          <w:color w:val="000000"/>
          <w:sz w:val="20"/>
          <w:shd w:fill="FFFFFF" w:val="clear"/>
        </w:rPr>
        <w:t xml:space="preserve">, primarily driven by </w:t>
      </w:r>
      <w:r>
        <w:rPr>
          <w:rFonts w:ascii="Times New Roman;serif" w:hAnsi="Times New Roman;serif"/>
          <w:b w:val="false"/>
          <w:color w:val="000000"/>
          <w:sz w:val="20"/>
        </w:rPr>
        <w:t>115</w:t>
      </w:r>
      <w:r>
        <w:rPr>
          <w:color w:val="000000"/>
          <w:shd w:fill="FFFFFF" w:val="clear"/>
        </w:rPr>
        <w:t xml:space="preserve"> </w:t>
      </w:r>
      <w:r>
        <w:rPr>
          <w:rFonts w:ascii="Times New Roman;serif" w:hAnsi="Times New Roman;serif"/>
          <w:b w:val="false"/>
          <w:color w:val="000000"/>
          <w:sz w:val="20"/>
          <w:shd w:fill="FFFFFF" w:val="clear"/>
        </w:rPr>
        <w:t>basis points from higher import costs due to tariffs.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0"/>
        <w:jc w:val="both"/>
        <w:rPr/>
      </w:pPr>
      <w:r>
        <w:rPr>
          <w:rFonts w:ascii="Times New Roman;serif" w:hAnsi="Times New Roman;serif"/>
          <w:b w:val="false"/>
          <w:color w:val="000000"/>
          <w:sz w:val="20"/>
          <w:shd w:fill="FFFFFF" w:val="clear"/>
        </w:rPr>
        <w:t>SG&amp;A expenses for the year ended December 31, 2025 increased $416 million, or 10.1%, to $4,524 million, compared to $4,108 million for the respective period in 2024, primarily due to $204 million related to higher compensation and benefit expenses related to investments in headcount, $70 million of incremental cost from acquisitions, $67 million related to higher distribution expense, including outbound freight, and $47</w:t>
      </w:r>
      <w:r>
        <w:rPr>
          <w:color w:val="000000"/>
        </w:rPr>
        <w:t xml:space="preserve"> </w:t>
      </w:r>
      <w:r>
        <w:rPr>
          <w:rFonts w:ascii="Times New Roman;serif" w:hAnsi="Times New Roman;serif"/>
          <w:b w:val="false"/>
          <w:color w:val="000000"/>
          <w:sz w:val="20"/>
        </w:rPr>
        <w:t>million related to higher selling and marketing expenses</w:t>
      </w:r>
      <w:r>
        <w:rPr>
          <w:rFonts w:ascii="Times New Roman;serif" w:hAnsi="Times New Roman;serif"/>
          <w:b w:val="false"/>
          <w:color w:val="000000"/>
          <w:sz w:val="20"/>
          <w:shd w:fill="FFFFFF" w:val="clear"/>
        </w:rPr>
        <w:t>, partially offset by $43 million related to a favorable settlement of an intellectual property dispute.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Amortization of Intangible Assets</w:t>
      </w:r>
      <w:r>
        <w:rPr>
          <w:rFonts w:ascii="Times New Roman;serif" w:hAnsi="Times New Roman;serif"/>
          <w:b/>
          <w:i/>
          <w:color w:val="000000"/>
          <w:sz w:val="20"/>
          <w:shd w:fill="FFFF00" w:val="clear"/>
        </w:rPr>
        <w:br/>
      </w:r>
      <w:r>
        <w:rPr>
          <w:rFonts w:ascii="Times New Roman;serif" w:hAnsi="Times New Roman;serif"/>
          <w:b/>
          <w:i/>
          <w:color w:val="000000"/>
          <w:sz w:val="20"/>
        </w:rPr>
        <w:br/>
      </w:r>
      <w:r>
        <w:rPr>
          <w:rFonts w:ascii="Times New Roman;serif" w:hAnsi="Times New Roman;serif"/>
          <w:b w:val="false"/>
          <w:color w:val="000000"/>
          <w:sz w:val="20"/>
        </w:rPr>
        <w:t xml:space="preserve">Amortization of intangible assets for the year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increased $19 million, or 2.8%, to </w:t>
      </w:r>
      <w:r>
        <w:rPr>
          <w:rFonts w:ascii="Times New Roman;serif" w:hAnsi="Times New Roman;serif"/>
          <w:b w:val="false"/>
          <w:color w:val="000000"/>
          <w:sz w:val="20"/>
          <w:shd w:fill="FFFFFF" w:val="clear"/>
        </w:rPr>
        <w:t xml:space="preserve">$704 </w:t>
      </w:r>
      <w:r>
        <w:rPr>
          <w:rFonts w:ascii="Times New Roman;serif" w:hAnsi="Times New Roman;serif"/>
          <w:b w:val="false"/>
          <w:color w:val="000000"/>
          <w:sz w:val="20"/>
        </w:rPr>
        <w:t xml:space="preserve">million, compared to $685 million for the respective period in 2024, primarily due </w:t>
      </w:r>
      <w:r>
        <w:rPr>
          <w:rFonts w:ascii="Times New Roman;serif" w:hAnsi="Times New Roman;serif"/>
          <w:b w:val="false"/>
          <w:color w:val="000000"/>
          <w:sz w:val="20"/>
          <w:shd w:fill="FFFFFF" w:val="clear"/>
        </w:rPr>
        <w:t xml:space="preserve">to the addition of intangible assets related to the acquisitions in the second half of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Other Operating Expenses</w:t>
      </w:r>
      <w:r>
        <w:rPr>
          <w:rFonts w:ascii="Times New Roman;serif" w:hAnsi="Times New Roman;serif"/>
          <w:b/>
          <w:i/>
          <w:color w:val="000000"/>
          <w:sz w:val="20"/>
          <w:shd w:fill="FFFF00" w:val="clear"/>
        </w:rPr>
        <w:br/>
      </w:r>
      <w:r>
        <w:rPr>
          <w:rFonts w:ascii="Times New Roman;serif" w:hAnsi="Times New Roman;serif"/>
          <w:b/>
          <w:i/>
          <w:color w:val="000000"/>
          <w:sz w:val="20"/>
        </w:rPr>
        <w:br/>
      </w:r>
      <w:r>
        <w:rPr>
          <w:rFonts w:ascii="Times New Roman;serif" w:hAnsi="Times New Roman;serif"/>
          <w:b w:val="false"/>
          <w:color w:val="000000"/>
          <w:sz w:val="20"/>
        </w:rPr>
        <w:t xml:space="preserve">Other operating expenses for the year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increased $41 million to $78 million, compared to $37 million for the respective period in 2024, primarily due to higher expenses associated with our IPO.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Interest Expense, net</w:t>
        <w:br/>
      </w:r>
      <w:r>
        <w:rPr>
          <w:rFonts w:ascii="Times New Roman;serif" w:hAnsi="Times New Roman;serif"/>
          <w:b w:val="false"/>
          <w:color w:val="000000"/>
          <w:sz w:val="20"/>
        </w:rPr>
        <w:br/>
        <w:t xml:space="preserve">Interest expense, net for the year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decreased $52 million, or 6.0%, to $812 million, compared to $864 million for the respective period in 2024, primarily due to the recognition of an embedded derivative related to the Dollar Term Loans.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Other Expense, net</w:t>
      </w:r>
      <w:r>
        <w:rPr>
          <w:rFonts w:ascii="Times New Roman;serif" w:hAnsi="Times New Roman;serif"/>
          <w:b w:val="false"/>
          <w:color w:val="000000"/>
          <w:sz w:val="20"/>
        </w:rPr>
        <w:br/>
        <w:br/>
        <w:t>Other expense</w:t>
      </w:r>
      <w:r>
        <w:rPr>
          <w:rFonts w:ascii="Times New Roman;serif" w:hAnsi="Times New Roman;serif"/>
          <w:b w:val="false"/>
          <w:color w:val="000000"/>
          <w:sz w:val="20"/>
          <w:shd w:fill="FFFFFF" w:val="clear"/>
        </w:rPr>
        <w:t>, net</w:t>
      </w:r>
      <w:r>
        <w:rPr>
          <w:color w:val="000000"/>
        </w:rPr>
        <w:t xml:space="preserve"> </w:t>
      </w:r>
      <w:r>
        <w:rPr>
          <w:rFonts w:ascii="Times New Roman;serif" w:hAnsi="Times New Roman;serif"/>
          <w:b w:val="false"/>
          <w:color w:val="000000"/>
          <w:sz w:val="20"/>
        </w:rPr>
        <w:t xml:space="preserve">for the year ended </w:t>
      </w:r>
      <w:r>
        <w:rPr>
          <w:rFonts w:ascii="Times New Roman;serif" w:hAnsi="Times New Roman;serif"/>
          <w:b w:val="false"/>
          <w:color w:val="000000"/>
          <w:sz w:val="20"/>
          <w:shd w:fill="FFFFFF" w:val="clear"/>
        </w:rPr>
        <w:t xml:space="preserve">December 31, 2025 increased </w:t>
      </w:r>
      <w:r>
        <w:rPr>
          <w:rFonts w:ascii="Times New Roman;serif" w:hAnsi="Times New Roman;serif"/>
          <w:b w:val="false"/>
          <w:color w:val="000000"/>
          <w:sz w:val="20"/>
        </w:rPr>
        <w:t xml:space="preserve">$21 </w:t>
      </w:r>
      <w:r>
        <w:rPr>
          <w:rFonts w:ascii="Times New Roman;serif" w:hAnsi="Times New Roman;serif"/>
          <w:b w:val="false"/>
          <w:color w:val="000000"/>
          <w:sz w:val="20"/>
          <w:shd w:fill="FFFFFF" w:val="clear"/>
        </w:rPr>
        <w:t xml:space="preserve">million, or </w:t>
      </w:r>
      <w:r>
        <w:rPr>
          <w:rFonts w:ascii="Times New Roman;serif" w:hAnsi="Times New Roman;serif"/>
          <w:b w:val="false"/>
          <w:color w:val="000000"/>
          <w:sz w:val="20"/>
        </w:rPr>
        <w:t xml:space="preserve">48.8%, to $64 million, compared to </w:t>
      </w:r>
      <w:r>
        <w:rPr>
          <w:rFonts w:ascii="Times New Roman;serif" w:hAnsi="Times New Roman;serif"/>
          <w:b w:val="false"/>
          <w:color w:val="000000"/>
          <w:sz w:val="20"/>
          <w:shd w:fill="FFFFFF" w:val="clear"/>
        </w:rPr>
        <w:t>$43</w:t>
      </w:r>
      <w:r>
        <w:rPr>
          <w:color w:val="000000"/>
        </w:rPr>
        <w:t xml:space="preserve"> </w:t>
      </w:r>
      <w:r>
        <w:rPr>
          <w:rFonts w:ascii="Times New Roman;serif" w:hAnsi="Times New Roman;serif"/>
          <w:b w:val="false"/>
          <w:color w:val="000000"/>
          <w:sz w:val="20"/>
        </w:rPr>
        <w:t>million for the respective period in 2024</w:t>
      </w:r>
      <w:r>
        <w:rPr>
          <w:rFonts w:ascii="Times New Roman;serif" w:hAnsi="Times New Roman;serif"/>
          <w:b w:val="false"/>
          <w:color w:val="000000"/>
          <w:sz w:val="20"/>
          <w:shd w:fill="FFFFFF" w:val="clear"/>
        </w:rPr>
        <w:t>, primarily due to higher debt extinguishment and other refinancing costs and fees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Exchange (Loss) Gain,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Foreign exchange (loss) gain, net for the year ended December 31, 2025</w:t>
      </w:r>
      <w:r>
        <w:rPr>
          <w:color w:val="000000"/>
        </w:rPr>
        <w:t xml:space="preserve"> </w:t>
      </w:r>
      <w:r>
        <w:rPr>
          <w:rFonts w:ascii="Times New Roman;serif" w:hAnsi="Times New Roman;serif"/>
          <w:b w:val="false"/>
          <w:color w:val="000000"/>
          <w:sz w:val="20"/>
        </w:rPr>
        <w:t xml:space="preserve">decreased $95 million to a loss of $88 million, compared to a gain of </w:t>
      </w:r>
      <w:r>
        <w:rPr>
          <w:rFonts w:ascii="Times New Roman;serif" w:hAnsi="Times New Roman;serif"/>
          <w:b w:val="false"/>
          <w:color w:val="000000"/>
          <w:sz w:val="20"/>
          <w:shd w:fill="FFFFFF" w:val="clear"/>
        </w:rPr>
        <w:t>$7</w:t>
      </w:r>
      <w:r>
        <w:rPr>
          <w:color w:val="000000"/>
        </w:rPr>
        <w:t xml:space="preserve"> </w:t>
      </w:r>
      <w:r>
        <w:rPr>
          <w:rFonts w:ascii="Times New Roman;serif" w:hAnsi="Times New Roman;serif"/>
          <w:b w:val="false"/>
          <w:color w:val="000000"/>
          <w:sz w:val="20"/>
        </w:rPr>
        <w:t>million for the respective period in 2024, primarily driv</w:t>
      </w:r>
      <w:r>
        <w:rPr>
          <w:rFonts w:ascii="Times New Roman;serif" w:hAnsi="Times New Roman;serif"/>
          <w:b w:val="false"/>
          <w:color w:val="000000"/>
          <w:sz w:val="20"/>
          <w:shd w:fill="FFFFFF" w:val="clear"/>
        </w:rPr>
        <w:t>en by larger unfavorable foreign exchange rate movement on certain borrowings denominated in the Euro in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Provision for income taxes for the year ended December 31, 2025 increased </w:t>
      </w:r>
      <w:r>
        <w:rPr>
          <w:rFonts w:ascii="Times New Roman;serif" w:hAnsi="Times New Roman;serif"/>
          <w:b w:val="false"/>
          <w:color w:val="000000"/>
          <w:sz w:val="20"/>
        </w:rPr>
        <w:t>$45</w:t>
      </w:r>
      <w:r>
        <w:rPr>
          <w:color w:val="000000"/>
          <w:shd w:fill="FFFFFF" w:val="clear"/>
        </w:rPr>
        <w:t xml:space="preserve"> </w:t>
      </w:r>
      <w:r>
        <w:rPr>
          <w:rFonts w:ascii="Times New Roman;serif" w:hAnsi="Times New Roman;serif"/>
          <w:b w:val="false"/>
          <w:color w:val="000000"/>
          <w:sz w:val="20"/>
          <w:shd w:fill="FFFFFF" w:val="clear"/>
        </w:rPr>
        <w:t xml:space="preserve">million to </w:t>
      </w:r>
      <w:r>
        <w:rPr>
          <w:rFonts w:ascii="Times New Roman;serif" w:hAnsi="Times New Roman;serif"/>
          <w:b w:val="false"/>
          <w:color w:val="000000"/>
          <w:sz w:val="20"/>
        </w:rPr>
        <w:t>$91</w:t>
      </w:r>
      <w:r>
        <w:rPr>
          <w:color w:val="000000"/>
          <w:shd w:fill="FFFFFF" w:val="clear"/>
        </w:rPr>
        <w:t xml:space="preserve"> </w:t>
      </w:r>
      <w:r>
        <w:rPr>
          <w:rFonts w:ascii="Times New Roman;serif" w:hAnsi="Times New Roman;serif"/>
          <w:b w:val="false"/>
          <w:color w:val="000000"/>
          <w:sz w:val="20"/>
          <w:shd w:fill="FFFFFF" w:val="clear"/>
        </w:rPr>
        <w:t xml:space="preserve">million, compared to </w:t>
      </w:r>
      <w:r>
        <w:rPr>
          <w:rFonts w:ascii="Times New Roman;serif" w:hAnsi="Times New Roman;serif"/>
          <w:b w:val="false"/>
          <w:color w:val="000000"/>
          <w:sz w:val="20"/>
        </w:rPr>
        <w:t>$46</w:t>
      </w:r>
      <w:r>
        <w:rPr>
          <w:color w:val="000000"/>
          <w:shd w:fill="FFFFFF" w:val="clear"/>
        </w:rPr>
        <w:t xml:space="preserve"> </w:t>
      </w:r>
      <w:r>
        <w:rPr>
          <w:rFonts w:ascii="Times New Roman;serif" w:hAnsi="Times New Roman;serif"/>
          <w:b w:val="false"/>
          <w:color w:val="000000"/>
          <w:sz w:val="20"/>
          <w:shd w:fill="FFFFFF" w:val="clear"/>
        </w:rPr>
        <w:t xml:space="preserve">million for the respective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primarily driven by the global minimum tax under Pillar Two rules.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95250"/>
                <wp:effectExtent l="0" t="0" r="0" b="0"/>
                <wp:wrapNone/>
                <wp:docPr id="69" name="Frame6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compares business segment net sales, Segment Adjusted EBITDA, and Segment Adjusted EBITDA margin for the year ended December 31, 2025 and 2024. </w:t>
      </w:r>
    </w:p>
    <w:p>
      <w:pPr>
        <w:pStyle w:val="TextBody"/>
        <w:bidi w:val="0"/>
        <w:spacing w:before="0" w:after="0"/>
        <w:ind w:left="0" w:right="0" w:firstLine="720"/>
        <w:jc w:val="both"/>
        <w:rPr/>
      </w:pPr>
      <w:r>
        <w:rPr/>
      </w:r>
    </w:p>
    <w:tbl>
      <w:tblPr>
        <w:tblW w:w="8500" w:type="dxa"/>
        <w:jc w:val="center"/>
        <w:tblInd w:w="0" w:type="dxa"/>
        <w:tblLayout w:type="fixed"/>
        <w:tblCellMar>
          <w:top w:w="28" w:type="dxa"/>
          <w:left w:w="28" w:type="dxa"/>
          <w:bottom w:w="28" w:type="dxa"/>
          <w:right w:w="28" w:type="dxa"/>
        </w:tblCellMar>
      </w:tblPr>
      <w:tblGrid>
        <w:gridCol w:w="1020"/>
        <w:gridCol w:w="898"/>
        <w:gridCol w:w="902"/>
        <w:gridCol w:w="267"/>
        <w:gridCol w:w="883"/>
        <w:gridCol w:w="349"/>
        <w:gridCol w:w="109"/>
        <w:gridCol w:w="109"/>
        <w:gridCol w:w="109"/>
        <w:gridCol w:w="267"/>
        <w:gridCol w:w="883"/>
        <w:gridCol w:w="349"/>
        <w:gridCol w:w="109"/>
        <w:gridCol w:w="109"/>
        <w:gridCol w:w="109"/>
        <w:gridCol w:w="196"/>
        <w:gridCol w:w="556"/>
        <w:gridCol w:w="109"/>
        <w:gridCol w:w="109"/>
        <w:gridCol w:w="109"/>
        <w:gridCol w:w="109"/>
        <w:gridCol w:w="246"/>
        <w:gridCol w:w="246"/>
        <w:gridCol w:w="348"/>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 vs 2024</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13,720 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9.6%</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EBITDA</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Segment Adjusted EBITDA margin</w:t>
            </w:r>
            <w:r>
              <w:rPr>
                <w:rFonts w:ascii="Times New Roman;serif" w:hAnsi="Times New Roman;serif"/>
                <w:b w:val="false"/>
                <w:color w:val="000000"/>
                <w:sz w:val="12"/>
              </w:rPr>
              <w:t>(1)</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14,712 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EBITDA</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24.4%</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Segment Adjusted EBITDA margin</w:t>
            </w:r>
            <w:r>
              <w:rPr>
                <w:rFonts w:ascii="Times New Roman;serif" w:hAnsi="Times New Roman;serif"/>
                <w:b w:val="false"/>
                <w:color w:val="000000"/>
                <w:sz w:val="12"/>
              </w:rPr>
              <w:t>(1)</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We define Segment Adjusted EBITDA margin as the Segment Adjusted EBITDA divided by segment net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20—Segment Information to our audited consolidated financial statements included under Part II, “Item 8—Financial Statements and Supplementary Data” of this Annual Report for additional information on our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Medline Brand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Medline Brand segment net sales for the year ended December 31, 2025 increased $1,205 million, or 9.6%, to $13,720 million, compared to $12,515 million for the respective period in 2024. The increase was primarily driven b</w:t>
      </w:r>
      <w:r>
        <w:rPr>
          <w:rFonts w:ascii="Times New Roman;serif" w:hAnsi="Times New Roman;serif"/>
          <w:b w:val="false"/>
          <w:color w:val="000000"/>
          <w:sz w:val="20"/>
          <w:shd w:fill="FFFFFF" w:val="clear"/>
        </w:rPr>
        <w:t xml:space="preserve">y volume growth in </w:t>
      </w:r>
      <w:r>
        <w:rPr>
          <w:rFonts w:ascii="Times New Roman;serif" w:hAnsi="Times New Roman;serif"/>
          <w:b w:val="false"/>
          <w:color w:val="000000"/>
          <w:sz w:val="20"/>
        </w:rPr>
        <w:t xml:space="preserve">Prime Vendor sales of Medline Brand products for the year ended December 31, 2025, which increased $574 million, or 10.6%, to $5,984 million, compared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$5,410</w:t>
      </w:r>
      <w:r>
        <w:rPr>
          <w:color w:val="000000"/>
          <w:shd w:fill="FFFFFF" w:val="clear"/>
        </w:rPr>
        <w:t xml:space="preserve"> </w:t>
      </w:r>
      <w:r>
        <w:rPr>
          <w:rFonts w:ascii="Times New Roman;serif" w:hAnsi="Times New Roman;serif"/>
          <w:b w:val="false"/>
          <w:color w:val="000000"/>
          <w:sz w:val="20"/>
        </w:rPr>
        <w:t xml:space="preserve">million for the respective period in 2024. Acquisitions also contributed </w:t>
      </w:r>
      <w:r>
        <w:rPr>
          <w:rFonts w:ascii="Times New Roman;serif" w:hAnsi="Times New Roman;serif"/>
          <w:b w:val="false"/>
          <w:color w:val="000000"/>
          <w:sz w:val="20"/>
          <w:shd w:fill="FFFFFF" w:val="clear"/>
        </w:rPr>
        <w:t>$221</w:t>
      </w:r>
      <w:r>
        <w:rPr>
          <w:color w:val="000000"/>
        </w:rPr>
        <w:t xml:space="preserve"> </w:t>
      </w:r>
      <w:r>
        <w:rPr>
          <w:rFonts w:ascii="Times New Roman;serif" w:hAnsi="Times New Roman;serif"/>
          <w:b w:val="false"/>
          <w:color w:val="000000"/>
          <w:sz w:val="20"/>
        </w:rPr>
        <w:t>million in incremental net sales in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Surgical Solutions net sales for the year ended December 31, 2025 increased $695 million, or 12.7%, to $6,166 million, compared to $5,471 million for the respective period in 2024, primarily driven by</w:t>
      </w:r>
      <w:r>
        <w:rPr>
          <w:color w:val="000000"/>
          <w:shd w:fill="FFFFFF" w:val="clear"/>
        </w:rPr>
        <w:t xml:space="preserve"> </w:t>
      </w:r>
      <w:r>
        <w:rPr>
          <w:rFonts w:ascii="Times New Roman;serif" w:hAnsi="Times New Roman;serif"/>
          <w:b w:val="false"/>
          <w:color w:val="000000"/>
          <w:sz w:val="20"/>
          <w:shd w:fill="FFFFFF" w:val="clear"/>
        </w:rPr>
        <w:t xml:space="preserve">volume growth of </w:t>
      </w:r>
      <w:r>
        <w:rPr>
          <w:rFonts w:ascii="Times New Roman;serif" w:hAnsi="Times New Roman;serif"/>
          <w:b w:val="false"/>
          <w:color w:val="000000"/>
          <w:sz w:val="20"/>
        </w:rPr>
        <w:t>$574</w:t>
      </w:r>
      <w:r>
        <w:rPr>
          <w:color w:val="000000"/>
          <w:shd w:fill="FFFFFF" w:val="clear"/>
        </w:rPr>
        <w:t xml:space="preserve"> </w:t>
      </w:r>
      <w:r>
        <w:rPr>
          <w:rFonts w:ascii="Times New Roman;serif" w:hAnsi="Times New Roman;serif"/>
          <w:b w:val="false"/>
          <w:color w:val="000000"/>
          <w:sz w:val="20"/>
          <w:shd w:fill="FFFFFF" w:val="clear"/>
        </w:rPr>
        <w:t xml:space="preserve">million related to kitting and operating room products, including the impact of an acquisition. </w:t>
      </w:r>
      <w:r>
        <w:rPr>
          <w:rFonts w:ascii="Times New Roman;serif" w:hAnsi="Times New Roman;serif"/>
          <w:b w:val="false"/>
          <w:color w:val="000000"/>
          <w:sz w:val="20"/>
        </w:rPr>
        <w:t>Front Line Care net sales for the year ended December 31, 2025 increased $426 million, or 7.0%, to $6,514 million, compared to $6,088 million for the respective period in 2024, primarily driven by</w:t>
      </w:r>
      <w:r>
        <w:rPr>
          <w:color w:val="000000"/>
          <w:shd w:fill="FFFFFF" w:val="clear"/>
        </w:rPr>
        <w:t xml:space="preserve"> </w:t>
      </w:r>
      <w:r>
        <w:rPr>
          <w:rFonts w:ascii="Times New Roman;serif" w:hAnsi="Times New Roman;serif"/>
          <w:b w:val="false"/>
          <w:color w:val="000000"/>
          <w:sz w:val="20"/>
          <w:shd w:fill="FFFFFF" w:val="clear"/>
        </w:rPr>
        <w:t xml:space="preserve">volume growth, including </w:t>
      </w:r>
      <w:r>
        <w:rPr>
          <w:rFonts w:ascii="Times New Roman;serif" w:hAnsi="Times New Roman;serif"/>
          <w:b w:val="false"/>
          <w:color w:val="000000"/>
          <w:sz w:val="20"/>
        </w:rPr>
        <w:t>$308</w:t>
      </w:r>
      <w:r>
        <w:rPr>
          <w:color w:val="000000"/>
          <w:shd w:fill="FFFFFF" w:val="clear"/>
        </w:rPr>
        <w:t xml:space="preserve"> </w:t>
      </w:r>
      <w:r>
        <w:rPr>
          <w:rFonts w:ascii="Times New Roman;serif" w:hAnsi="Times New Roman;serif"/>
          <w:b w:val="false"/>
          <w:color w:val="000000"/>
          <w:sz w:val="20"/>
          <w:shd w:fill="FFFFFF" w:val="clear"/>
        </w:rPr>
        <w:t>million related to ReadyCare products, wound care products, personal care products, environmental services products, exam gloves, and repositioning and offloading products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rPr>
        <w:t>Laboratory and Diagnostics net sales for the year ended December 31, 2025 increased $84 million, or 8.8%, to $1,040 million, compared to $956 million for the respective period in 2024, primaril</w:t>
      </w:r>
      <w:r>
        <w:rPr>
          <w:rFonts w:ascii="Times New Roman;serif" w:hAnsi="Times New Roman;serif"/>
          <w:b w:val="false"/>
          <w:color w:val="000000"/>
          <w:sz w:val="20"/>
          <w:shd w:fill="FFFFFF" w:val="clear"/>
        </w:rPr>
        <w:t>y driven by volume growth in laboratory products of $65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Medline Brand Segment Adjusted EBITDA for the year ended December 31, 2025 </w:t>
      </w:r>
      <w:r>
        <w:rPr>
          <w:rFonts w:ascii="Times New Roman;serif" w:hAnsi="Times New Roman;serif"/>
          <w:b w:val="false"/>
          <w:color w:val="000000"/>
          <w:sz w:val="20"/>
          <w:shd w:fill="FFFFFF" w:val="clear"/>
        </w:rPr>
        <w:t>increased</w:t>
      </w:r>
      <w:r>
        <w:rPr>
          <w:color w:val="000000"/>
        </w:rPr>
        <w:t xml:space="preserve"> </w:t>
      </w:r>
      <w:r>
        <w:rPr>
          <w:rFonts w:ascii="Times New Roman;serif" w:hAnsi="Times New Roman;serif"/>
          <w:b w:val="false"/>
          <w:color w:val="000000"/>
          <w:sz w:val="20"/>
        </w:rPr>
        <w:t xml:space="preserve">$65 million, or 2.0%, to $3,334 million, compared to $3,269 million for the respective period in 2024, primarily driven by net sales growth, including the impact of acquisitions as noted above. Medline Brand Segment Adjusted EBITDA margin </w:t>
      </w:r>
      <w:r>
        <w:rPr>
          <w:rFonts w:ascii="Times New Roman;serif" w:hAnsi="Times New Roman;serif"/>
          <w:b w:val="false"/>
          <w:color w:val="000000"/>
          <w:sz w:val="20"/>
          <w:shd w:fill="FFFFFF" w:val="clear"/>
        </w:rPr>
        <w:t>decreased</w:t>
      </w:r>
      <w:r>
        <w:rPr>
          <w:color w:val="000000"/>
        </w:rPr>
        <w:t xml:space="preserve"> </w:t>
      </w:r>
      <w:r>
        <w:rPr>
          <w:rFonts w:ascii="Times New Roman;serif" w:hAnsi="Times New Roman;serif"/>
          <w:b w:val="false"/>
          <w:color w:val="000000"/>
          <w:sz w:val="20"/>
        </w:rPr>
        <w:t xml:space="preserve">to 24.3% from 26.1%, </w:t>
      </w:r>
      <w:r>
        <w:rPr>
          <w:rFonts w:ascii="Times New Roman;serif" w:hAnsi="Times New Roman;serif"/>
          <w:b w:val="false"/>
          <w:color w:val="000000"/>
          <w:sz w:val="20"/>
          <w:shd w:fill="FFFFFF" w:val="clear"/>
        </w:rPr>
        <w:t xml:space="preserve">primarily driven by </w:t>
      </w:r>
      <w:r>
        <w:rPr>
          <w:rFonts w:ascii="Times New Roman;serif" w:hAnsi="Times New Roman;serif"/>
          <w:b w:val="false"/>
          <w:color w:val="000000"/>
          <w:sz w:val="20"/>
        </w:rPr>
        <w:t>235</w:t>
      </w:r>
      <w:r>
        <w:rPr>
          <w:color w:val="000000"/>
          <w:shd w:fill="FFFFFF" w:val="clear"/>
        </w:rPr>
        <w:t xml:space="preserve"> </w:t>
      </w:r>
      <w:r>
        <w:rPr>
          <w:rFonts w:ascii="Times New Roman;serif" w:hAnsi="Times New Roman;serif"/>
          <w:b w:val="false"/>
          <w:color w:val="000000"/>
          <w:sz w:val="20"/>
          <w:shd w:fill="FFFFFF" w:val="clear"/>
        </w:rPr>
        <w:t xml:space="preserve">basis points from higher import costs due to tariffs, partially offset by </w:t>
      </w:r>
      <w:r>
        <w:rPr>
          <w:rFonts w:ascii="Times New Roman;serif" w:hAnsi="Times New Roman;serif"/>
          <w:b w:val="false"/>
          <w:color w:val="000000"/>
          <w:sz w:val="20"/>
        </w:rPr>
        <w:t>47</w:t>
      </w:r>
      <w:r>
        <w:rPr>
          <w:color w:val="000000"/>
          <w:shd w:fill="FFFFFF" w:val="clear"/>
        </w:rPr>
        <w:t xml:space="preserve"> </w:t>
      </w:r>
      <w:r>
        <w:rPr>
          <w:rFonts w:ascii="Times New Roman;serif" w:hAnsi="Times New Roman;serif"/>
          <w:b w:val="false"/>
          <w:color w:val="000000"/>
          <w:sz w:val="20"/>
          <w:shd w:fill="FFFFFF" w:val="clear"/>
        </w:rPr>
        <w:t>basis points from lower freight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Supply Chain Solutions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Supply Chain Solutions segment net sales for the year ended December 31, 2025 increased $1,720 million, or 13.2%, to $14,712 million, compared to</w:t>
      </w:r>
      <w:r>
        <w:rPr>
          <w:color w:val="000000"/>
          <w:shd w:fill="FFFFFF" w:val="clear"/>
        </w:rPr>
        <w:t xml:space="preserve"> </w:t>
      </w:r>
      <w:r>
        <w:rPr>
          <w:rFonts w:ascii="Times New Roman;serif" w:hAnsi="Times New Roman;serif"/>
          <w:b w:val="false"/>
          <w:color w:val="000000"/>
          <w:sz w:val="20"/>
          <w:shd w:fill="FFFFFF" w:val="clear"/>
        </w:rPr>
        <w:t xml:space="preserve">$12,992 </w:t>
      </w:r>
      <w:r>
        <w:rPr>
          <w:rFonts w:ascii="Times New Roman;serif" w:hAnsi="Times New Roman;serif"/>
          <w:b w:val="false"/>
          <w:color w:val="000000"/>
          <w:sz w:val="20"/>
        </w:rPr>
        <w:t>million for the respective period in 2024. The increase was primarily driven by volume growth in Prime Vendor sales for the year ended December 31, 2025, which increased $1,426 million, or 13.4%, to $12,049 million, compar</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to $10,623</w:t>
      </w:r>
      <w:r>
        <w:rPr>
          <w:color w:val="000000"/>
          <w:shd w:fill="FFFFFF" w:val="clear"/>
        </w:rPr>
        <w:t xml:space="preserve"> </w:t>
      </w:r>
      <w:r>
        <w:rPr>
          <w:rFonts w:ascii="Times New Roman;serif" w:hAnsi="Times New Roman;serif"/>
          <w:b w:val="false"/>
          <w:color w:val="000000"/>
          <w:sz w:val="20"/>
          <w:shd w:fill="FFFFFF" w:val="clear"/>
        </w:rPr>
        <w:t>mill</w:t>
      </w:r>
      <w:r>
        <w:rPr>
          <w:rFonts w:ascii="Times New Roman;serif" w:hAnsi="Times New Roman;serif"/>
          <w:b w:val="false"/>
          <w:color w:val="000000"/>
          <w:sz w:val="20"/>
        </w:rPr>
        <w:t>ion for the respective period in 2024, including implementation of new relationships and growth with existing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Supply Chain Solutions Segment Adjusted EBITDA for the year ended December 31, 2025 increased $158 million, or 24.4%, to $805 million, compared to $647 million for the respective period in 2024. Supply Chain Solutions Segment Adjusted EBITDA margin increased to 5.5% from 5.0%, primarily due to operating leverage.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95250"/>
                <wp:effectExtent l="0" t="0" r="0" b="0"/>
                <wp:wrapNone/>
                <wp:docPr id="70" name="Frame6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Non-GAAP Financial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below.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(loss) adjusted for (i) interest expense, net, (ii) provision for income taxes, (iii) depreciation and amortization, (iv) inventory-related adjustments, (v) stock-based compensation, (vi) litigation (gains) charges, net, (vii) transaction-related costs, and (viii)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reconciliation of net income, the most comparable GAAP measure, to Adjusted EBITDA and Adjusted EBITDA Margin: </w:t>
      </w:r>
    </w:p>
    <w:p>
      <w:pPr>
        <w:pStyle w:val="TextBody"/>
        <w:bidi w:val="0"/>
        <w:spacing w:before="0" w:after="0"/>
        <w:ind w:left="0" w:right="0" w:firstLine="720"/>
        <w:jc w:val="both"/>
        <w:rPr/>
      </w:pPr>
      <w:r>
        <w:rPr/>
      </w:r>
    </w:p>
    <w:tbl>
      <w:tblPr>
        <w:tblW w:w="6054" w:type="dxa"/>
        <w:jc w:val="center"/>
        <w:tblInd w:w="0" w:type="dxa"/>
        <w:tblLayout w:type="fixed"/>
        <w:tblCellMar>
          <w:top w:w="28" w:type="dxa"/>
          <w:left w:w="28" w:type="dxa"/>
          <w:bottom w:w="28" w:type="dxa"/>
          <w:right w:w="28" w:type="dxa"/>
        </w:tblCellMar>
      </w:tblPr>
      <w:tblGrid>
        <w:gridCol w:w="971"/>
        <w:gridCol w:w="855"/>
        <w:gridCol w:w="858"/>
        <w:gridCol w:w="291"/>
        <w:gridCol w:w="827"/>
        <w:gridCol w:w="381"/>
        <w:gridCol w:w="109"/>
        <w:gridCol w:w="109"/>
        <w:gridCol w:w="109"/>
        <w:gridCol w:w="287"/>
        <w:gridCol w:w="816"/>
        <w:gridCol w:w="441"/>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Net income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Inventory-related adjustments </w:t>
            </w:r>
            <w:r>
              <w:rPr>
                <w:rFonts w:ascii="Times New Roman;serif" w:hAnsi="Times New Roman;serif"/>
                <w:b w:val="false"/>
                <w:color w:val="000000"/>
                <w:sz w:val="12"/>
              </w:rPr>
              <w:t>(1)</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Stock-based compensation expense</w:t>
            </w:r>
            <w:r>
              <w:rPr>
                <w:color w:val="000000"/>
              </w:rPr>
              <w:t xml:space="preserve"> </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Litigation (gains) charges, net </w:t>
            </w:r>
            <w:r>
              <w:rPr>
                <w:rFonts w:ascii="Times New Roman;serif" w:hAnsi="Times New Roman;serif"/>
                <w:b w:val="false"/>
                <w:color w:val="000000"/>
                <w:sz w:val="12"/>
              </w:rPr>
              <w:t xml:space="preserve">(2) </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Transaction-related costs </w:t>
            </w:r>
            <w:r>
              <w:rPr>
                <w:rFonts w:ascii="Times New Roman;serif" w:hAnsi="Times New Roman;serif"/>
                <w:b w:val="false"/>
                <w:color w:val="000000"/>
                <w:sz w:val="12"/>
              </w:rPr>
              <w:t>(3)</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non-core charges </w:t>
            </w:r>
            <w:r>
              <w:rPr>
                <w:rFonts w:ascii="Times New Roman;serif" w:hAnsi="Times New Roman;serif"/>
                <w:b w:val="false"/>
                <w:color w:val="000000"/>
                <w:sz w:val="12"/>
              </w:rPr>
              <w:t xml:space="preserve">(4) </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Adjusted EBITDA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3,361 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Net income margin </w:t>
            </w:r>
            <w:r>
              <w:rPr>
                <w:rFonts w:ascii="Times New Roman;serif" w:hAnsi="Times New Roman;serif"/>
                <w:b/>
                <w:color w:val="000000"/>
                <w:sz w:val="12"/>
              </w:rPr>
              <w:t>(5)</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Adjusted EBITDA Margin </w:t>
            </w:r>
            <w:r>
              <w:rPr>
                <w:rFonts w:ascii="Times New Roman;serif" w:hAnsi="Times New Roman;serif"/>
                <w:b/>
                <w:color w:val="000000"/>
                <w:sz w:val="12"/>
              </w:rPr>
              <w:t>(5)</w:t>
            </w:r>
          </w:p>
        </w:tc>
        <w:tc>
          <w:tcPr>
            <w:tcW w:w="11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Includes inventory adjustment associated with non-cash last-in, first-out (“LIFO”) reserves. Inventory adjustments were $83 million and $53 million for the years ended December 31, 2025 and 2024, respectively. The year ended December 31, 2024 also includes $25 million of amortization of the inventory step-up resulting from acquisitions.</w:t>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For the year ended December 31, 2025, represents a settlement adjustment of $(8) million related to the EtO litigation, $(43) million related to settlement of an intellectual property dispute, and $18 million related to other legal settlements. For the year ended December 31, 2024, represents $2 million one-time legal costs. </w:t>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For the years ended December 31, 2025 and 2024, respectively, includes $28 million and $22 million of acquisition and integration-related costs and adjustments; and $30 million and $9 million of expenses related to our IPO, consisting of legal, accounting, and advisory fees, as well as one-time employee bonuses, including those with an ongoing service requirement. The year ended December 31, 2024 also includes $(13) million one-time gain related to acquisition of equity investment.</w:t>
      </w:r>
    </w:p>
    <w:p>
      <w:pPr>
        <w:pStyle w:val="TextBody"/>
        <w:bidi w:val="0"/>
        <w:spacing w:lineRule="auto" w:line="288" w:before="0" w:after="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For the years ended December 31, 2025 and 2024, respectively, includes $87 million and $(6) million of realized and unrealized foreign exchange and investment losses (gains); $64 million and $56 million of loss on debt extinguishment and other refinancing costs and fees; $31 million and $38 million credit loss expense related to certain customer receivables; and $20 million and $23 million of other project costs. </w:t>
      </w:r>
    </w:p>
    <w:p>
      <w:pPr>
        <w:pStyle w:val="TextBody"/>
        <w:bidi w:val="0"/>
        <w:spacing w:lineRule="auto" w:line="288" w:before="0" w:after="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Net income margin represents net income divided by net sales and Adjusted EBITDA Margin represents Adjusted EBITDA divided by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95250"/>
                <wp:effectExtent l="0" t="0" r="0" b="0"/>
                <wp:wrapNone/>
                <wp:docPr id="71" name="Frame7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primary sources of liquidity are our cash and cash equivalents, our cash flows from operations, and our revolving credit facility. As of December 31, 2025, we had cash and cash equivalents of </w:t>
      </w:r>
      <w:r>
        <w:rPr>
          <w:rFonts w:ascii="Times New Roman;serif" w:hAnsi="Times New Roman;serif"/>
          <w:b w:val="false"/>
          <w:color w:val="000000"/>
          <w:sz w:val="20"/>
          <w:shd w:fill="FFFFFF" w:val="clear"/>
        </w:rPr>
        <w:t>$1,939 million</w:t>
      </w:r>
      <w:r>
        <w:rPr>
          <w:color w:val="000000"/>
        </w:rPr>
        <w:t xml:space="preserve"> </w:t>
      </w:r>
      <w:r>
        <w:rPr>
          <w:rFonts w:ascii="Times New Roman;serif" w:hAnsi="Times New Roman;serif"/>
          <w:b w:val="false"/>
          <w:color w:val="000000"/>
          <w:sz w:val="20"/>
        </w:rPr>
        <w:t xml:space="preserve">and available liquidity under our Revolving Credit Facility of </w:t>
      </w:r>
      <w:r>
        <w:rPr>
          <w:rFonts w:ascii="Times New Roman;serif" w:hAnsi="Times New Roman;serif"/>
          <w:b w:val="false"/>
          <w:color w:val="000000"/>
          <w:sz w:val="20"/>
          <w:shd w:fill="FFFFFF" w:val="clear"/>
        </w:rPr>
        <w:t xml:space="preserve">$947 million.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primary uses of cash include product purchases, operating costs, personnel-related costs, capital expenditures related to property and equipment, acquisitions, payments of interest under our indebtedness, and distributions to partners. In the fourth quarter of 2025, we completed our IPO and </w:t>
      </w:r>
      <w:r>
        <w:rPr>
          <w:rFonts w:ascii="Times New Roman;serif" w:hAnsi="Times New Roman;serif"/>
          <w:b w:val="false"/>
          <w:color w:val="000000"/>
          <w:sz w:val="20"/>
          <w:shd w:fill="FFFFFF" w:val="clear"/>
        </w:rPr>
        <w:t xml:space="preserve">used the proceeds (net of underwriting discounts and commissions) from the issuance of </w:t>
      </w:r>
      <w:r>
        <w:rPr>
          <w:rFonts w:ascii="Times New Roman;serif" w:hAnsi="Times New Roman;serif"/>
          <w:b w:val="false"/>
          <w:color w:val="000000"/>
          <w:sz w:val="20"/>
        </w:rPr>
        <w:t>179,000,000</w:t>
      </w:r>
      <w:r>
        <w:rPr>
          <w:color w:val="000000"/>
          <w:shd w:fill="FFFFFF" w:val="clear"/>
        </w:rPr>
        <w:t xml:space="preserve"> </w:t>
      </w:r>
      <w:r>
        <w:rPr>
          <w:rFonts w:ascii="Times New Roman;serif" w:hAnsi="Times New Roman;serif"/>
          <w:b w:val="false"/>
          <w:color w:val="000000"/>
          <w:sz w:val="20"/>
          <w:shd w:fill="FFFFFF" w:val="clear"/>
        </w:rPr>
        <w:t xml:space="preserve">shares ($5,078 million) in the IPO to purchase an equivalent number of newly issued Common Units from Medline Holdings, which Medline Holdings has in turn used </w:t>
      </w:r>
      <w:r>
        <w:rPr>
          <w:rFonts w:ascii="Times New Roman;serif" w:hAnsi="Times New Roman;serif"/>
          <w:b w:val="false"/>
          <w:color w:val="000000"/>
          <w:sz w:val="20"/>
        </w:rPr>
        <w:t>$731</w:t>
      </w:r>
      <w:r>
        <w:rPr>
          <w:color w:val="000000"/>
          <w:shd w:fill="FFFFFF" w:val="clear"/>
        </w:rPr>
        <w:t xml:space="preserve"> </w:t>
      </w:r>
      <w:r>
        <w:rPr>
          <w:rFonts w:ascii="Times New Roman;serif" w:hAnsi="Times New Roman;serif"/>
          <w:b w:val="false"/>
          <w:color w:val="000000"/>
          <w:sz w:val="20"/>
          <w:shd w:fill="FFFFFF" w:val="clear"/>
        </w:rPr>
        <w:t xml:space="preserve">million (including interest of </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 xml:space="preserve">million) of which to repay in full all outstanding Euro Term Loans and </w:t>
      </w:r>
      <w:r>
        <w:rPr>
          <w:rFonts w:ascii="Times New Roman;serif" w:hAnsi="Times New Roman;serif"/>
          <w:b w:val="false"/>
          <w:color w:val="000000"/>
          <w:sz w:val="20"/>
        </w:rPr>
        <w:t>$3,292</w:t>
      </w:r>
      <w:r>
        <w:rPr>
          <w:color w:val="000000"/>
          <w:shd w:fill="FFFFFF" w:val="clear"/>
        </w:rPr>
        <w:t xml:space="preserve"> </w:t>
      </w:r>
      <w:r>
        <w:rPr>
          <w:rFonts w:ascii="Times New Roman;serif" w:hAnsi="Times New Roman;serif"/>
          <w:b w:val="false"/>
          <w:color w:val="000000"/>
          <w:sz w:val="20"/>
          <w:shd w:fill="FFFFFF" w:val="clear"/>
        </w:rPr>
        <w:t xml:space="preserve">million (including interest of </w:t>
      </w:r>
      <w:r>
        <w:rPr>
          <w:rFonts w:ascii="Times New Roman;serif" w:hAnsi="Times New Roman;serif"/>
          <w:b w:val="false"/>
          <w:color w:val="000000"/>
          <w:sz w:val="20"/>
        </w:rPr>
        <w:t>$11</w:t>
      </w:r>
      <w:r>
        <w:rPr>
          <w:color w:val="000000"/>
          <w:shd w:fill="FFFFFF" w:val="clear"/>
        </w:rPr>
        <w:t xml:space="preserve"> </w:t>
      </w:r>
      <w:r>
        <w:rPr>
          <w:rFonts w:ascii="Times New Roman;serif" w:hAnsi="Times New Roman;serif"/>
          <w:b w:val="false"/>
          <w:color w:val="000000"/>
          <w:sz w:val="20"/>
          <w:shd w:fill="FFFFFF" w:val="clear"/>
        </w:rPr>
        <w:t xml:space="preserve">million) of which to repay a portion of the outstanding Dollar Term Loans. We will use the remaining net proceeds for general corporate purposes and to bear all of the expenses of the IPO. We have used the proceeds (net of underwriting discounts and commissions) from the issuance of </w:t>
      </w:r>
      <w:r>
        <w:rPr>
          <w:rFonts w:ascii="Times New Roman;serif" w:hAnsi="Times New Roman;serif"/>
          <w:b w:val="false"/>
          <w:color w:val="000000"/>
          <w:sz w:val="20"/>
        </w:rPr>
        <w:t>37,034,482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$1,051</w:t>
      </w:r>
      <w:r>
        <w:rPr>
          <w:color w:val="000000"/>
          <w:shd w:fill="FFFFFF" w:val="clear"/>
        </w:rPr>
        <w:t xml:space="preserve"> </w:t>
      </w:r>
      <w:r>
        <w:rPr>
          <w:rFonts w:ascii="Times New Roman;serif" w:hAnsi="Times New Roman;serif"/>
          <w:b w:val="false"/>
          <w:color w:val="000000"/>
          <w:sz w:val="20"/>
          <w:shd w:fill="FFFFFF" w:val="clear"/>
        </w:rPr>
        <w:t xml:space="preserve">million) and the issuance of </w:t>
      </w:r>
      <w:r>
        <w:rPr>
          <w:rFonts w:ascii="Times New Roman;serif" w:hAnsi="Times New Roman;serif"/>
          <w:b w:val="false"/>
          <w:color w:val="000000"/>
          <w:sz w:val="20"/>
        </w:rPr>
        <w:t>32,405,172</w:t>
      </w:r>
      <w:r>
        <w:rPr>
          <w:color w:val="000000"/>
          <w:shd w:fill="FFFFFF" w:val="clear"/>
        </w:rPr>
        <w:t xml:space="preserve"> </w:t>
      </w:r>
      <w:r>
        <w:rPr>
          <w:rFonts w:ascii="Times New Roman;serif" w:hAnsi="Times New Roman;serif"/>
          <w:b w:val="false"/>
          <w:color w:val="000000"/>
          <w:sz w:val="20"/>
          <w:shd w:fill="FFFFFF" w:val="clear"/>
        </w:rPr>
        <w:t>shares ($919 million) pursuant to the exercise in full by the underwriters of their option to purchase additional shares in the IPO to purchase or redeem an equivalent aggregate number of shares of Class A Common Stock and Common Units from certain of our pre-IPO owners.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net capital expenditures were </w:t>
      </w:r>
      <w:r>
        <w:rPr>
          <w:rFonts w:ascii="Times New Roman;serif" w:hAnsi="Times New Roman;serif"/>
          <w:b w:val="false"/>
          <w:color w:val="000000"/>
          <w:sz w:val="20"/>
          <w:shd w:fill="FFFFFF" w:val="clear"/>
        </w:rPr>
        <w:t>$447 million and</w:t>
      </w:r>
      <w:r>
        <w:rPr>
          <w:color w:val="000000"/>
        </w:rPr>
        <w:t xml:space="preserve"> </w:t>
      </w:r>
      <w:r>
        <w:rPr>
          <w:rFonts w:ascii="Times New Roman;serif" w:hAnsi="Times New Roman;serif"/>
          <w:b w:val="false"/>
          <w:color w:val="000000"/>
          <w:sz w:val="20"/>
        </w:rPr>
        <w:t>$354 million for the years ended December 31, 2025 and 2024, respectively. These include the continued enhancements and automation in our distribution centers and investments in our manufacturing facilities in Mexico and other regions.</w:t>
      </w:r>
      <w:r>
        <w:rPr>
          <w:color w:val="000000"/>
          <w:shd w:fill="FFFFFF" w:val="clear"/>
        </w:rPr>
        <w:t xml:space="preserve"> </w:t>
      </w:r>
      <w:r>
        <w:rPr>
          <w:rFonts w:ascii="Times New Roman;serif" w:hAnsi="Times New Roman;serif"/>
          <w:b w:val="false"/>
          <w:color w:val="000000"/>
          <w:sz w:val="20"/>
        </w:rPr>
        <w:t xml:space="preserve">We anticipate the net capital </w:t>
      </w:r>
      <w:r>
        <w:rPr>
          <w:rFonts w:ascii="Times New Roman;serif" w:hAnsi="Times New Roman;serif"/>
          <w:b w:val="false"/>
          <w:color w:val="000000"/>
          <w:sz w:val="20"/>
          <w:shd w:fill="FFFFFF" w:val="clear"/>
        </w:rPr>
        <w:t xml:space="preserve">expenditures for the fiscal year 2026 to be approximately </w:t>
      </w:r>
      <w:r>
        <w:rPr>
          <w:rFonts w:ascii="Times New Roman;serif" w:hAnsi="Times New Roman;serif"/>
          <w:b w:val="false"/>
          <w:color w:val="000000"/>
          <w:sz w:val="20"/>
        </w:rPr>
        <w:t>$500</w:t>
      </w:r>
      <w:r>
        <w:rPr>
          <w:color w:val="000000"/>
          <w:shd w:fill="FFFFFF" w:val="clear"/>
        </w:rPr>
        <w:t xml:space="preserve"> </w:t>
      </w:r>
      <w:r>
        <w:rPr>
          <w:rFonts w:ascii="Times New Roman;serif" w:hAnsi="Times New Roman;serif"/>
          <w:b w:val="false"/>
          <w:color w:val="000000"/>
          <w:sz w:val="20"/>
          <w:shd w:fill="FFFFFF" w:val="clear"/>
        </w:rPr>
        <w:t>million, primarily related to the expansion of manufacturing facilities and distribution centers and further investment in automation.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on hand, cash flows from operations, and borrowing availability under our Revolving Credit Facility will fund our ongoing working capital, investing and financing requirements sufficiently for at least the next year and the foreseeable future thereafter.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After completion of the IPO, Medline Inc. became our holding company and has no material assets other than its ownership of Common Units in Medline Holdings. Medline Inc. has no independent means of generating net sales. Medline Inc. intends to cause Medline Holdings to make distributions and payments to its holders of Units, including Medline Inc. and the Continuing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 arrangements, including the credit agreement that governs the Senior Secured Credit Facilities and the indentures governing the Senior Notes (as defined herein), contain covenants that may restrict Medline Holdings and its subsidiaries from paying such distributions, subject to certain exceptions. Further, Medline Holdings is generally prohibited under Delaware law from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Part I, “Item 1A—Risk Factors—Risks Related to Our Organizational Structure—Medline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95250"/>
                <wp:effectExtent l="0" t="0" r="0" b="0"/>
                <wp:wrapNone/>
                <wp:docPr id="72" name="Frame7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the major components of our Consolidated Statements of Cash Flows for the periods presented:</w:t>
      </w:r>
    </w:p>
    <w:tbl>
      <w:tblPr>
        <w:tblW w:w="8685" w:type="dxa"/>
        <w:jc w:val="center"/>
        <w:tblInd w:w="0" w:type="dxa"/>
        <w:tblLayout w:type="fixed"/>
        <w:tblCellMar>
          <w:top w:w="28" w:type="dxa"/>
          <w:left w:w="28" w:type="dxa"/>
          <w:bottom w:w="28" w:type="dxa"/>
          <w:right w:w="28" w:type="dxa"/>
        </w:tblCellMar>
      </w:tblPr>
      <w:tblGrid>
        <w:gridCol w:w="1880"/>
        <w:gridCol w:w="1660"/>
        <w:gridCol w:w="1665"/>
        <w:gridCol w:w="341"/>
        <w:gridCol w:w="969"/>
        <w:gridCol w:w="190"/>
        <w:gridCol w:w="109"/>
        <w:gridCol w:w="109"/>
        <w:gridCol w:w="109"/>
        <w:gridCol w:w="109"/>
        <w:gridCol w:w="308"/>
        <w:gridCol w:w="994"/>
        <w:gridCol w:w="242"/>
      </w:tblGrid>
      <w:tr>
        <w:trPr/>
        <w:tc>
          <w:tcPr>
            <w:tcW w:w="188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1544" w:type="dxa"/>
            <w:gridSpan w:val="3"/>
            <w:tcBorders/>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5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(in millions)</w:t>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and cash equivalents and restricted cash provided by (used in):</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$1,744 million and $1,769 million for the years ended December 31, 2025 and 2024,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cash provided by operating activities for the year ended December 31, 2025 wa</w:t>
      </w:r>
      <w:r>
        <w:rPr>
          <w:rFonts w:ascii="Times New Roman;serif" w:hAnsi="Times New Roman;serif"/>
          <w:b w:val="false"/>
          <w:color w:val="000000"/>
          <w:sz w:val="20"/>
          <w:shd w:fill="FFFFFF" w:val="clear"/>
        </w:rPr>
        <w:t>s prima</w:t>
      </w:r>
      <w:r>
        <w:rPr>
          <w:rFonts w:ascii="Times New Roman;serif" w:hAnsi="Times New Roman;serif"/>
          <w:b w:val="false"/>
          <w:color w:val="000000"/>
          <w:sz w:val="20"/>
        </w:rPr>
        <w:t xml:space="preserve">rily driven by </w:t>
      </w:r>
      <w:r>
        <w:rPr>
          <w:rFonts w:ascii="Times New Roman;serif" w:hAnsi="Times New Roman;serif"/>
          <w:b w:val="false"/>
          <w:color w:val="000000"/>
          <w:sz w:val="20"/>
          <w:shd w:fill="FFFFFF" w:val="clear"/>
        </w:rPr>
        <w:t xml:space="preserve">net income excluding non-cash items, partially offset by changes in working capital. Changes in working capital resulted in net cash used of </w:t>
      </w:r>
      <w:r>
        <w:rPr>
          <w:rFonts w:ascii="Times New Roman;serif" w:hAnsi="Times New Roman;serif"/>
          <w:b w:val="false"/>
          <w:color w:val="000000"/>
          <w:sz w:val="20"/>
        </w:rPr>
        <w:t>$783</w:t>
      </w:r>
      <w:r>
        <w:rPr>
          <w:color w:val="000000"/>
          <w:shd w:fill="FFFFFF" w:val="clear"/>
        </w:rPr>
        <w:t xml:space="preserve"> </w:t>
      </w:r>
      <w:r>
        <w:rPr>
          <w:rFonts w:ascii="Times New Roman;serif" w:hAnsi="Times New Roman;serif"/>
          <w:b w:val="false"/>
          <w:color w:val="000000"/>
          <w:sz w:val="20"/>
          <w:shd w:fill="FFFFFF" w:val="clear"/>
        </w:rPr>
        <w:t xml:space="preserve">million, which is primarily driven by an increase in trade accounts receivable of </w:t>
      </w:r>
      <w:r>
        <w:rPr>
          <w:rFonts w:ascii="Times New Roman;serif" w:hAnsi="Times New Roman;serif"/>
          <w:b w:val="false"/>
          <w:color w:val="000000"/>
          <w:sz w:val="20"/>
        </w:rPr>
        <w:t>$355</w:t>
      </w:r>
      <w:r>
        <w:rPr>
          <w:color w:val="000000"/>
          <w:shd w:fill="FFFFFF" w:val="clear"/>
        </w:rPr>
        <w:t xml:space="preserve"> </w:t>
      </w:r>
      <w:r>
        <w:rPr>
          <w:rFonts w:ascii="Times New Roman;serif" w:hAnsi="Times New Roman;serif"/>
          <w:b w:val="false"/>
          <w:color w:val="000000"/>
          <w:sz w:val="20"/>
          <w:shd w:fill="FFFFFF" w:val="clear"/>
        </w:rPr>
        <w:t xml:space="preserve">million, an increase in inventories of </w:t>
      </w:r>
      <w:r>
        <w:rPr>
          <w:rFonts w:ascii="Times New Roman;serif" w:hAnsi="Times New Roman;serif"/>
          <w:b w:val="false"/>
          <w:color w:val="000000"/>
          <w:sz w:val="20"/>
        </w:rPr>
        <w:t>$264</w:t>
      </w:r>
      <w:r>
        <w:rPr>
          <w:color w:val="000000"/>
          <w:shd w:fill="FFFFFF" w:val="clear"/>
        </w:rPr>
        <w:t xml:space="preserve"> </w:t>
      </w:r>
      <w:r>
        <w:rPr>
          <w:rFonts w:ascii="Times New Roman;serif" w:hAnsi="Times New Roman;serif"/>
          <w:b w:val="false"/>
          <w:color w:val="000000"/>
          <w:sz w:val="20"/>
          <w:shd w:fill="FFFFFF" w:val="clear"/>
        </w:rPr>
        <w:t xml:space="preserve">million including tariff impacts, and payment of a litigation accrual of </w:t>
      </w:r>
      <w:r>
        <w:rPr>
          <w:rFonts w:ascii="Times New Roman;serif" w:hAnsi="Times New Roman;serif"/>
          <w:b w:val="false"/>
          <w:color w:val="000000"/>
          <w:sz w:val="20"/>
        </w:rPr>
        <w:t>$166</w:t>
      </w:r>
      <w:r>
        <w:rPr>
          <w:color w:val="000000"/>
          <w:shd w:fill="FFFFFF" w:val="clear"/>
        </w:rPr>
        <w:t xml:space="preserve"> </w:t>
      </w:r>
      <w:r>
        <w:rPr>
          <w:rFonts w:ascii="Times New Roman;serif" w:hAnsi="Times New Roman;serif"/>
          <w:b w:val="false"/>
          <w:color w:val="000000"/>
          <w:sz w:val="20"/>
          <w:shd w:fill="FFFFFF" w:val="clear"/>
        </w:rPr>
        <w:t xml:space="preserve">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year ended December 31, 2024 was primarily from net income excluding non-cash items as well as changes in working capital. An increase in inventory due to customer demands reduced cash by $545 million. An increase in trade accounts receivable due to sales growth reduced cash by $256 million. These were partially offset by $106 million change in accounts payable driven by higher inventory purchases.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used in Investing Activities</w:t>
      </w:r>
    </w:p>
    <w:p>
      <w:pPr>
        <w:pStyle w:val="TextBody"/>
        <w:bidi w:val="0"/>
        <w:spacing w:lineRule="auto" w:line="288" w:before="0" w:after="0"/>
        <w:jc w:val="both"/>
        <w:rPr/>
      </w:pPr>
      <w:r>
        <w:rPr>
          <w:rFonts w:ascii="Times New Roman;serif" w:hAnsi="Times New Roman;serif"/>
          <w:b w:val="false"/>
          <w:color w:val="000000"/>
          <w:sz w:val="20"/>
        </w:rPr>
        <w:br/>
        <w:t>For the year ended December 31, 2025, net cash used in investing activities was primarily d</w:t>
      </w:r>
      <w:r>
        <w:rPr>
          <w:rFonts w:ascii="Times New Roman;serif" w:hAnsi="Times New Roman;serif"/>
          <w:b w:val="false"/>
          <w:color w:val="000000"/>
          <w:sz w:val="20"/>
          <w:shd w:fill="FFFFFF" w:val="clear"/>
        </w:rPr>
        <w:t>riven by net capital expenditures of $447 million and payments for asset acquisitions of $33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For the year ended December 31, 2024, net cash used in investing activities primarily relates to payments for acquisitions of business and assets of $1,136 million and net capital expenditures of $354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95250"/>
                <wp:effectExtent l="0" t="0" r="0" b="0"/>
                <wp:wrapNone/>
                <wp:docPr id="73" name="Frame7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Flows used in 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provided by financing activities was primarily driven by net proceeds from the issuance of Class A common stock sold in our IPO of $7,048 million, offset by $4,092 million net repayment of long-term borrowings, $1,970 million used to purchase or redeem an equivalent aggregate number of shares of Class A common stock and Common Units from certain pre-IPO owners, and distributions to pre-IPO partners of $518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used in financing activities primarily relates to a $1,210 million payment of additional tax distributions to certain partners to catch up on a pro-rata basis tax distribution previously paid to pre-IPO partners, distributions to pre-IPO partners of $308 million, and $63 million net repayment of long-term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long-term borrowings and the effective interest rates, are summarized as follows:</w:t>
      </w:r>
    </w:p>
    <w:p>
      <w:pPr>
        <w:pStyle w:val="TextBody"/>
        <w:bidi w:val="0"/>
        <w:spacing w:before="0" w:after="0"/>
        <w:jc w:val="both"/>
        <w:rPr/>
      </w:pPr>
      <w:r>
        <w:rPr/>
      </w:r>
    </w:p>
    <w:tbl>
      <w:tblPr>
        <w:tblW w:w="8646" w:type="dxa"/>
        <w:jc w:val="center"/>
        <w:tblInd w:w="0" w:type="dxa"/>
        <w:tblLayout w:type="fixed"/>
        <w:tblCellMar>
          <w:top w:w="28" w:type="dxa"/>
          <w:left w:w="28" w:type="dxa"/>
          <w:bottom w:w="28" w:type="dxa"/>
          <w:right w:w="28" w:type="dxa"/>
        </w:tblCellMar>
      </w:tblPr>
      <w:tblGrid>
        <w:gridCol w:w="933"/>
        <w:gridCol w:w="820"/>
        <w:gridCol w:w="826"/>
        <w:gridCol w:w="704"/>
        <w:gridCol w:w="704"/>
        <w:gridCol w:w="707"/>
        <w:gridCol w:w="109"/>
        <w:gridCol w:w="109"/>
        <w:gridCol w:w="109"/>
        <w:gridCol w:w="216"/>
        <w:gridCol w:w="713"/>
        <w:gridCol w:w="120"/>
        <w:gridCol w:w="109"/>
        <w:gridCol w:w="109"/>
        <w:gridCol w:w="109"/>
        <w:gridCol w:w="470"/>
        <w:gridCol w:w="470"/>
        <w:gridCol w:w="130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Maturity dates by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Amount</w:t>
            </w:r>
          </w:p>
          <w:p>
            <w:pPr>
              <w:pStyle w:val="TableContents"/>
              <w:bidi w:val="0"/>
              <w:spacing w:lineRule="auto" w:line="268" w:before="0" w:after="0"/>
              <w:jc w:val="center"/>
              <w:rPr>
                <w:color w:val="000000"/>
              </w:rPr>
            </w:pPr>
            <w:r>
              <w:rPr>
                <w:color w:val="000000"/>
              </w:rPr>
              <w:t> </w:t>
            </w:r>
            <w:r>
              <w:rPr>
                <w:rFonts w:ascii="Times New Roman;serif" w:hAnsi="Times New Roman;serif"/>
                <w:b w:val="false"/>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Average effective interest rate</w:t>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Long-term borrowings</w:t>
            </w:r>
          </w:p>
        </w:tc>
        <w:tc>
          <w:tcPr>
            <w:tcW w:w="2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debt</w:t>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w:t>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unsecured debt</w:t>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Secured debt</w:t>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w:t>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w:t>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2026 - 2030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secured debt</w:t>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due within one year</w:t>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Total other</w:t>
            </w:r>
            <w:r>
              <w:rPr>
                <w:rFonts w:ascii="Times New Roman;serif" w:hAnsi="Times New Roman;serif"/>
                <w:b w:val="false"/>
                <w:color w:val="000000"/>
                <w:sz w:val="12"/>
              </w:rPr>
              <w:t>(1)</w:t>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Long-term borrowings</w:t>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
        <w:jc w:val="both"/>
        <w:rPr/>
      </w:pPr>
      <w:r>
        <w:rPr>
          <w:rFonts w:ascii="Times New Roman;serif" w:hAnsi="Times New Roman;serif"/>
          <w:b w:val="false"/>
          <w:color w:val="000000"/>
          <w:sz w:val="12"/>
        </w:rPr>
        <w:t>(1)</w:t>
      </w:r>
      <w:r>
        <w:rPr>
          <w:rFonts w:ascii="Times New Roman;serif" w:hAnsi="Times New Roman;serif"/>
          <w:b w:val="false"/>
          <w:color w:val="000000"/>
          <w:sz w:val="18"/>
        </w:rPr>
        <w:t>Includes $41 million of embedded derivative related to the Dollar Term Loans and deferred financing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Secured and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2021, we issued senior secured notes with a principal amount of $4,500 million, at a fixed rate of 3.875% and maturity date of April 1, 2029 and senior unsecured notes with a principal amount of $2,500 million at a fixed rate of 5.250% with a maturity date of October 1,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we issued senior secured notes with a principal amount of $1,500 million at a fixed rate of 6.250% and a maturity date of April 1,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on all aforementioned secured and unsecured notes (collectively, the “Senior Notes”) is payable in cash on a semi-annual basis, with payments made in arrears on April 1 and October 1 of each calendar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Term Loan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we borrowed $7,270 million under a senior secured term loan facility (the “Dollar Term Loans”), in addition to €435 million under a separate euro-denominated senior secured term loan facility (the “Euro Term Loans”), both established under a credit agreement (the “Credit Agreement”). The Credit Agreement permits us, at any time, subject to customary conditions, to request incremental term loans or incremental revolving credit commitments in an aggregate principal amount of up to (a) the greater of (1) $2,375 million and (2) an amount equal to 100% of our trailing consolidated EBITDA (as defined in the Credit Agreement)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95250"/>
                <wp:effectExtent l="0" t="0" r="0" b="0"/>
                <wp:wrapNone/>
                <wp:docPr id="74" name="Frame7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Credit Agreement underwent three separate amendments. These amendments resulted in an increase of $520 million in the principal amount of the Dollar Term Loans, as well as an increase of €185 million in the aggregate principal amount of the Euro Term Loans. In addition, pursuant to the amendments, the applicable interest rate margins were lowered, resulting in a variable interest rate of Secured Overnight Financing Rate (“SOFR”) plus a spread of 2.25% for the Dollar Term Loans, and a variable interest rate of EURO Interbank offer Rate plus an applicable spread ranging from 2.25% to 2.75% based on certain of our debt ratios for the Euro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2025, the Credit Agreement was amended to reduce the margin spread and to extend the maturity of certain obligations. Upon the amendment, all of the Dollar Term Loans are subject to a margin spread of SOFR plus 2.00%. The principal amount of the outstanding Dollar Term Loans equal to $4,074 million will mature on October 21, 2028, which remained unchanged, while an aggregate principal amount of the outstanding Dollar Term Loans equal to $3,500 million will mature on October 23, 2030, extended from the original maturity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we used a portion of the proceeds from the IPO to prepay a portion of the Dollar Term Loans with a maturity date of October 21, 2028 in the amount of $3,281 million and all of the outstanding principal of the Euro Term Loans, equivalent to $730 million. Per the terms of the Credit Agreement, the completion of the IPO also triggered a reduction in variable interest rate of 0.25%, resulting in a variable interest rate of SOFR plus 1.75% for the remaining Dollar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Credit Agreement amendments and the debt prepayments, the Company paid debt modification expenses of $6 and $24 for the years ended December 31, 2025 and 2024, respectively. The Company also incurred debt extinguishment losses of $58 and $32 for writing off unamortized issuing discounts and deferred financing costs associated with the debts repaid, for the years ended December 31, 2025 and 2024, respectively. These costs were included in Other (expense) income, net on the Consolidated Statements of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Dollar Term Loans require quarterly amortization payments of 0.25% of the amended principal due at each calendar quarter-end. These amortization payments were $76 million and $50 million for the years ended December 31, 2025 and 2024, respectively. The Euro Term Loans did not have any mandatory amortization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Revolving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certain lenders have provided us with commitments under a $1,000 million senior secured revolving credit facility under the Credit Agreement (the “Revolving Credit Facility,” together with the Dollar Term Loans, the “Senior Secured Credit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amendment to the Credit Agreement in 2024 extended the maturity date of the Revolving Credit Facility from October 21, 2026 to July 8, 2029 (subject to a springing maturity 91 days inside of the maturity date of all secured and unsecured notes and term loan facilities) and did not change the maximum borrowing capacity of $1,000 million or any other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28, 2025, we amended the Credit Agreement to permit letter of credit issuers to issue letters of credit in excess of their respective letter of credit commitments and to obligate the other lenders under our Revolving Credit Facility to participate in such letters of credit, subject to other customary limitations.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Revolving Credit Facility had several financial institutions as lenders for a maximum borrowing capacity of $1,000 million. The Revolving Credit Facility accrues commitment fees in respect of unfunded commitments thereunder. Letters of credit issued under the Revolving Credit Facility reduce availability under the Revolving Credit Facility dollar-for-dollar. As of December 31, 2025 and 2024, availability under the Revolving Credit Facility was $947 million and $951 million, respectively, after taking into account outstanding letters of credit of $53 million and $49 million, respectively. We borrowed and repaid $179 million and $166 million under the Revolving Credit Facility during the years ended December 31, 2025 and 2024, respectively, which resulted in no amounts outstanding as of December 31, 2025 or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may be repaid and borrowed again, partially or wholly at any time, from time to time, as elected by us and interest is typically paid on a monthly or quarterly basis, depending on the interest period elected.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95250"/>
                <wp:effectExtent l="0" t="0" r="0" b="0"/>
                <wp:wrapNone/>
                <wp:docPr id="75" name="Frame7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Covenant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springing financial covenant in the Credit Agreement and other ratios related to incurrence-based covenants (measured only upon the taking of certain actions, including the incurrence of additional indebtedness) under the Credit Agreement and the indentures governing our outstanding senior secured and unsecured notes are calculated in part based on financial measures similar to Adjusted EBITDA presented herein, which financial measures are determined at the Medline Borrower, LP (a fully-owned subsidiary of Medline Holdings) level and adjust for certain additional items such as contribution from acquisitions and the run-rate impact of signed contracts, cost savings and customer losses. These incremental adjustments, as calculated pursuant to such agreements, provide us with a net benefit to Adjusted EBITDA for ratio calculation purposes of $230 million and $197 million for the years ended December 31, 2025 and 2024, respectively. The springing financial covenant in the Credit Agreement requires compliance with a maximum ratio of consolidated first lien net indebtedness to Consolidated EBITDA (as defined in the Credit Agreement) of 8.3x and is applicable solely to the Revolving Credit Facility, which ratio is tested on the last day of any fiscal quarter only if the aggregate principal amount of borrowings (excluding outstanding letters of credit (whether or not cash collateralized)) under the Revolving Credit Facility exceeds 35% of the greater of (a) the total amount of commitments under the Revolving Credit Facility on such day and (b) $1,000 million. While the springing financial covenant was not subject to testing as of December 31, 2025 as we did not have any outstanding borrowings under the Revolving Credit Facility at such time, our ratio of consolidated first lien net indebtedness to consolidated EBITDA as of the last day of any applicable fiscal quarter has not exceeded the maximum ratio permitted under the springing financial covenant. The failure to satisfy this ratio would impact our ability to borrow amounts committed under our Revolving Credit Facility which could have a material impact on our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 Hedges of 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use interest rate derivatives to add stability to interest expense and to manage our exposure to interest rate movements. We primarily use interest rate swaps and caps as part of its interest rate risk management strategy. Interest rate swaps designated as cash flow hedges involve the receipt of variable amounts from a counterparty in exchange for us making fixed-rate payments over the life of the agreements without exchange of the underlying notional amount. Interest rate caps designated as cash flow hedges involve the receipt of variable amounts from a counterparty if interest rates rise above t</w:t>
      </w:r>
      <w:r>
        <w:rPr>
          <w:rFonts w:ascii="Times New Roman;serif" w:hAnsi="Times New Roman;serif"/>
          <w:b w:val="false"/>
          <w:color w:val="000000"/>
          <w:sz w:val="20"/>
          <w:shd w:fill="FFFFFF" w:val="clear"/>
        </w:rPr>
        <w:t>he strike rate on the contract in exchange for a premium. As of December 31, 2025, we held interest rate swaps with a notional value of $1,000 million and interest rate caps with a notional value of $2,000 million, both with a maturity date of December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Tax Receivable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we entered into a tax receivable agreement with certain of our pre-IPO owners that provides for the payment by Medline to such pre-IPO owners of 90% of certain tax benefits, if any, that Medline actually realizes, or is deemed to realize (calculated using certain assumptions), as a result of (i) our allocable share of existing tax basis in Medline Holdings’ assets acquired in the IPO, (ii) increases in our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(iii) our utilization of certain tax attributes (including any existing tax basis) of the Blocker Companies, which we acquired in connection with the IPO, and (iv) certain other tax benefits related to entering into the tax receivable agreement, including tax benefits attributable to payments under the tax receivable agreement. Sales or exchanges of Common Units by Unitholders to Medline are expected to result in increases in the tax basis of the assets of Medline Holdings. The existing tax basis, increases in existing tax basis, and the tax basis adjustments generated over time may increase (for tax purposes) depreciation and amortization deductions available to us and, therefore, may reduce the amount of tax that we would otherwise be required to pay in the future. Changes in the estimate of expected tax benefits Medline would realize and the amount payable under the tax receivable agreement as a result of changes in tax rates will be reflected in our Consolidated Statements of Comprehensive Income. As of December 31, 2025, we had recorded a tax receivable agreement liability of $3,542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95250"/>
                <wp:effectExtent l="0" t="0" r="0" b="0"/>
                <wp:wrapNone/>
                <wp:docPr id="76" name="Frame7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that the payments that we make under the tax receivable agreement will be substantial. Assuming: (i) a price of $42.00 per share of our Class A common stock, which was the closing price on December 31, 2025; (ii) a constant corporate tax rate of 25.7%; (iii) we had sufficient taxable income to fully utilize the tax benefits; and (iv) no material changes in tax law, if the Unitholders had exchanged all of the Common Units that they held on December 31, 2025, and assuming all Incentive Units had been converted to Common Units and subsequently exchanged for shares of Class A common stock at a price of $42.00 per share of Class A common stock as of such date, we would, as a result of such hypothetical exchange, have recorded an additional tax receivable agreement liability of approximately $7,458 million, generally payable over a 15-year period. We intend to fund the required payments under the tax receivable agreement from our pro rata share of distributions from Medline Holdings. Our ability to achieve benefits from existing tax basis, tax basis adjustments, or other tax attributes, and the payments to be made under the tax receivable agreement, will depend upon a number of factors, including the timing and amount of our future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Part I, “Item 1A—Risk Factors—Risks Related to Our Organizational Structure—Our tax receivable agreement confers benefits upon certain of our pre-IPO owners”, “—In certain cases, payments under the tax receivable agreement may significantly exceed the actual benefits Medline Inc. realizes in respect of the tax attributes subject to the tax receivable agreement,” and “—In certain cases, payments under the tax receivable agreement may significantly exceed the actual benefits Medline Inc. realizes in respect of the tax attributes subject to the tax receivable agreement,” Note 11—Tax Receivable Agreement, and Note 19—Related Party to our consolidated financial statements included under Part II, “Item 8—Financial Statements and Supplementary Data”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approximate principal contractual obligations as of December 31, 2025:</w:t>
      </w:r>
    </w:p>
    <w:tbl>
      <w:tblPr>
        <w:tblW w:w="6147" w:type="dxa"/>
        <w:jc w:val="center"/>
        <w:tblInd w:w="0" w:type="dxa"/>
        <w:tblLayout w:type="fixed"/>
        <w:tblCellMar>
          <w:top w:w="28" w:type="dxa"/>
          <w:left w:w="28" w:type="dxa"/>
          <w:bottom w:w="28" w:type="dxa"/>
          <w:right w:w="28" w:type="dxa"/>
        </w:tblCellMar>
      </w:tblPr>
      <w:tblGrid>
        <w:gridCol w:w="1020"/>
        <w:gridCol w:w="896"/>
        <w:gridCol w:w="904"/>
        <w:gridCol w:w="196"/>
        <w:gridCol w:w="646"/>
        <w:gridCol w:w="109"/>
        <w:gridCol w:w="109"/>
        <w:gridCol w:w="109"/>
        <w:gridCol w:w="109"/>
        <w:gridCol w:w="196"/>
        <w:gridCol w:w="421"/>
        <w:gridCol w:w="109"/>
        <w:gridCol w:w="109"/>
        <w:gridCol w:w="109"/>
        <w:gridCol w:w="109"/>
        <w:gridCol w:w="196"/>
        <w:gridCol w:w="64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Noncurrent</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Interest on borrowings </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Operating lease obligations </w:t>
            </w:r>
            <w:r>
              <w:rPr>
                <w:rFonts w:ascii="Times New Roman;serif" w:hAnsi="Times New Roman;serif"/>
                <w:b w:val="false"/>
                <w:color w:val="000000"/>
                <w:sz w:val="12"/>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Unconditional purchase obligations </w:t>
            </w:r>
            <w:r>
              <w:rPr>
                <w:rFonts w:ascii="Times New Roman;serif" w:hAnsi="Times New Roman;serif"/>
                <w:b w:val="false"/>
                <w:color w:val="000000"/>
                <w:sz w:val="12"/>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Pension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contractual obligations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hanging="360"/>
        <w:jc w:val="both"/>
        <w:rPr/>
      </w:pPr>
      <w:r>
        <w:rPr>
          <w:rFonts w:ascii="Times New Roman;serif" w:hAnsi="Times New Roman;serif"/>
          <w:b w:val="false"/>
          <w:color w:val="000000"/>
          <w:sz w:val="12"/>
          <w:shd w:fill="FFFFFF" w:val="clear"/>
        </w:rPr>
        <w:t>(1)</w:t>
      </w:r>
      <w:r>
        <w:rPr>
          <w:rFonts w:ascii="Times New Roman;serif" w:hAnsi="Times New Roman;serif"/>
          <w:b w:val="false"/>
          <w:color w:val="000000"/>
          <w:sz w:val="18"/>
          <w:shd w:fill="FFFFFF" w:val="clear"/>
        </w:rPr>
        <w:t>Interest payments on debt obligations are calculated for future periods using interest rates in effect as of December 31, 2025. Certain of these projected interest payments may differ in the future based on changes in reference rate index for variable debt or other factors or events. The projected interest payments only pertain to obligations and agreements outstanding at December 31, 2025. See Note 7—Credit Agreements and Borrowings to our audited consolidated financial statements included under Part II, “Item 8—Financial Statements and Supplementary Data” of this Annual Report for additional information.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We have operating leases for corporate offices, manufacturing and distribution facilities, vehicles, and equipment. Our leases have remaining terms ranging from less th</w:t>
      </w:r>
      <w:r>
        <w:rPr>
          <w:rFonts w:ascii="Times New Roman;serif" w:hAnsi="Times New Roman;serif"/>
          <w:b w:val="false"/>
          <w:color w:val="000000"/>
          <w:sz w:val="18"/>
          <w:shd w:fill="FFFFFF" w:val="clear"/>
        </w:rPr>
        <w:t>an 12 m</w:t>
      </w:r>
      <w:r>
        <w:rPr>
          <w:rFonts w:ascii="Times New Roman;serif" w:hAnsi="Times New Roman;serif"/>
          <w:b w:val="false"/>
          <w:color w:val="000000"/>
          <w:sz w:val="18"/>
        </w:rPr>
        <w:t>onths to appro</w:t>
      </w:r>
      <w:r>
        <w:rPr>
          <w:rFonts w:ascii="Times New Roman;serif" w:hAnsi="Times New Roman;serif"/>
          <w:b w:val="false"/>
          <w:color w:val="000000"/>
          <w:sz w:val="18"/>
          <w:shd w:fill="FFFFFF" w:val="clear"/>
        </w:rPr>
        <w:t>ximately 14 years, some of which may include options to extend or terminate the lease when it is reasonably certain and there is a significant economic incentive to exercise that option. As of December 31, 2025, our right-of-use assets related to operating leases were $432 million and our current and non-current operating lease liabilities were $66 million and $386 million, respectively. Also includes our future lease payments for executed operating lease agreements related to office spaces that have not yet commenced.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Includes our significant contractual unconditional purchase obligations. These commitments do not exceed our projected requirements and are in the normal course of business. Examples include firm commitments for goods and service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have the contractual obligations under the tax receivable agreement to make payments to applicable pre-IPO owners of 90% of certain tax benefits, which are not reflected in the table set forth above. For further discussion of the tax receivable agreement, see Part II, “Item 7—Management’s Discussion and Analysis of Financial Condition and Results of Operations—Liquidity and Capital Resources—Tax Receivable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95250"/>
                <wp:effectExtent l="0" t="0" r="0" b="0"/>
                <wp:wrapNone/>
                <wp:docPr id="77" name="Frame7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Off 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have guarantees or other off-balance sheet financing arrangements, including variable interest entities, of a magnitude that we believe could have a material impact on our financial condition or liquidity. See our audited Consolidated Financial Statements and related notes included under Part II, “Item 8—Financial Statements and Supplementary Data”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accordance with U.S. GAAP, which often require us to make estimates and assumptions that affect the reported amounts of assets, liabilities, net sales, expenses, and related disclosures. Our estimates are based on 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accounting estimates, assumptions, and judgments that we believe to have the most significant impact on our consolidated financial statements are described below. This discussion is provided to supplement the descriptions of our accounting policies contained in Note 1—Nature of Business and Significant Accounting Policies to our audited consolidated financial statements included under Part II, “Item 8—Financial Statements and Supplementary Data” of this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net sales are generated principally from the sale of products. The amount of net sales recognized is adjusted for variable consideration, including sales rebates, distributor chargebacks, return allowances, scrap allowances, and other rights, which may require significant judgment in determining the amounts by which to reduce net sales. Our estimate of variable consideration and ultimate determination of the estimated amounts to include in the transaction price are based upon the contractual terms between us and our customers, products subject to a rebate, the lag between the sale and the payment of the rebate, and historical rebate payment trends. We estimate these amounts at the point net sales is recognized based on the expected value to be provided to the customer and reduces net sales accordingly. Our estimate of variable consideration and ultimate determination of the estimated amounts to include in the transaction price is based primarily on assessments of anticipated performance and historical information that is reasonably available to us. We have not made any material adjustments to our variable consideration estimates historically and in all periods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Allowances for Refunds and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an allowance for doubtful accounts for estimated losses in the collection of amounts owed by customers.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Changes in these factors, among others, may lead to adjustments in our allowance for credit losses. The calculation of the required allowance requires significant judgment by management. If the financial condition of our customers worsens, or economic conditions change, we may be required to make changes to our allowance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Inventories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Cost is determined primarily by the LIFO cost method. For certain foreign subsidiaries, cost is determined using the first-in, first-out method.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On a periodic basis, we also write down inventories that are considered to be excess and obsolete. Our evaluation is based on historical and forecasted sales trends. Rebates received from vendors relating to the purchase or distribution of inventory are considered product discounts and are accounted for as reductions in the cost of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95250"/>
                <wp:effectExtent l="0" t="0" r="0" b="0"/>
                <wp:wrapNone/>
                <wp:docPr id="78" name="Frame7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Impairment of Goodwill and Indefinite-Lived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make certain estimates and judgments in impairment assessments of goodwill and indefinite-lived intangible assets. For the qualitative review, we consider the weight of evidence and significance of all identified events and circumstances and most relevant drivers of fair value, both positive and negative, in determining whether it is more likely than not that impairment has occurred.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perform a quantitative review for goodwill, we first estimate the fair value of our reporting unit. We consider all generally accepted valuation approaches to value a business or an entity, and rely on approach(es) that are deemed most suitable to estimate value as of the measurement date. We have generally used a combination of the market approach and the income approach. Under the market approach, we estimate fair value by comparing the reporting unit to similar businesses, or guideline companies whose securities are actively traded in public markets and select market multiple(s) deemed appropriate, and apply the selected multiple(s) to the reporting unit’s financial metric. Under the income approach, we use a discounted cash flow model in which cash flows anticipated over several periods, plus a terminal value at the end of that time horizon, are discounted to their present value using an appropriate rate that is commensurate with the risk inherent within the reporting unit. The fair value is then estimated as a weighted average of the values indicated by the valuation approaches relied upon.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perform a quantitative review for indefinite-lived intangible assets, we utilize the relief-from-royalty method for indefinite-lived trade names. The relief-from-royalty method assumes trade names have value to the extent their owner is relieved of the obligation to pay royalties for the benefits received from them. This method requires us to estimate the future revenue for the related brands, the appropriate royalty rate, and the weighted average cost of capital. If the net book values of the assets exceed fair value, an impairment charge will be recognized in an amount equal to that excess.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annual impairment testing performed did not indicate any impairment of goodwill or indefinite-lived intangible assets for the years ended December 31, 2025 and 2024. For further information on the impairment test of goodwill or indefinite-lived intangible assets, see Note 1—Nature of Business and Significant Accounting Policies to our audited consolidated financial statements included under Part II, “Item 8—Financial Statements and Supplementary Data” of this Annual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Business Combination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business combinations using the acquisition method of accounting, whereby the identifiable assets and liabilities of the acquired business, including contingent consideration, as well as any noncontrolling interest in the acquired business, are recorded at their estimated fair values as of the date that we obtain control of the acquired business. Any purchase consideration in excess of the estimated fair values of the net assets acquired is recorded as goodwill. Significant estimates may be used to determine the fair value of assets acquired and liabilities assumed. Critical estimates in valuing intangible assets include, but are not limited to, expected future cash flows and discount rates. Fair value estimates are based on the assumptions management believes a market participant would use in pricing the asset or liability. Amounts recorded in a business combination may change during the measurement period, which is a period not to exceed one year from the date of acquisitions, as additional information about conditions existing at the acquisition date becomes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95250"/>
                <wp:effectExtent l="0" t="0" r="0" b="0"/>
                <wp:wrapNone/>
                <wp:docPr id="79" name="Frame7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detailed in Note 11—Tax Receivable Agreement to our audited consolidated financial statements included under Part II, “Item 8—Financial Statements and Supplementary Data” of this Annual Report, we are party to a tax receivable agreement which provides for the payment by Medline Inc. to applicable pre-IPO owners of 90% of certain tax benefits, if any, that Medline Inc. actually realizes, or is deemed to realize, as a result of (i) Medline Inc.’s allocable share of existing tax basis in Medline Holdings’ assets acquired in the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(iii) Medline Inc.’s utilization of certain tax attributes (including any existing tax basis) of the Blocker Companies, which Medline Inc. acquired in connection with the Reorganization, and (iv) certain other tax benefits related to entering into the tax receivable agreement, including tax benefits attributable to payments under the tax receivable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have recognized a tax receivable agreement liability of $3,542 million for amounts due under the tax receivable agreement. The liability is determined based on the timing and amount of aggregate payments due under the tax receivable agreement, considering the income tax rates then applicable and the timing and terms of purchases or exchanges of Common Units (including the price of shares of Class A common stock at the time of any such purchase or exchange and the extent to which such transactions result in tax basis adjustments).If we do not generate sufficient taxable income in the aggregate over the term of the tax receivable agreement to utilize the tax benefits, then we are not required to make the related tax receivable agreement payments. Therefore, we would only recognize a liability for tax receivable agreement payments if we determine it is probable that we will generate sufficient future taxable income over the term of the tax receivable agreement to utilize the related tax benefits.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Deferred Income Taxes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and IPO, Medline Inc. acquired equity interest in Medline Holdings, the flow-through entity for U.S. federal tax purposes, and recognized a deferred tax liability for the difference between the U.S. GAAP financial reporting basis and the tax basis of our investment in Medline Holdings. In addition, we acquired certain tax attributes, including net operating loss and credit carryforwards, as well as interest expense carryforwards, and have recognized deferred tax assets relating to these amounts. A deferred tax asset was also recognized for the future tax benefits from tax receivable agreement payments.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Deferred tax assets and liabilities are recognized for future tax consequences attributable to differences between the financial statement carrying value of existing assets and liabilities and their respective tax bases. Deferred tax assets and liabilities are measured using enacted tax rates in effect for the year in which those temporary differences are expected to be recovered or settled. The effect of a change in tax rates on deferred tax assets and liabilities is recognized in income in the period in which the enactment date occurs.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evaluate the realizability of our deferred tax assets by assessing the likelihood that our deferred tax assets will be recovered based on all available positive and negative evidence, including scheduled reversals of deferred tax liabilities, estimates of future taxable income, tax planning strategies and results of operations. When we determine that it is more likely than not that all or a portion of a deferred tax asset will not be realized, we record a valuation allowance against our deferred tax assets. Estimating future taxable income is inherently uncertain and requires judgment. As of December 31, 2025, we have recorded an immaterial valuation allowance against our deferred tax assets.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deferred income taxes and provision for income taxes, see Note 12—Income Taxes to our audited consolidated financial statements included under Part II, “Item 8—Financial Statements and Supplementary Data” of this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Adopted Accounting Standards and Recently Issued Accounting Standards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recently adopted accounting standards and recently issued accounting standards not yet adopted, please see Note 1—Nature of Business and Significant Accounting Policies to our audited consolidated financial statements included under Part II, “Item 8—Financial Statements and Supplementary Data” of this Annual Report..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7A - Quantitative and Qualitative Disclosures About Market Risk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95250"/>
                <wp:effectExtent l="0" t="0" r="0" b="0"/>
                <wp:wrapNone/>
                <wp:docPr id="80" name="Frame7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from adverse changes in foreign currency exchange rates and interest 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Currency Exchange Rate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international sales, including in Canada, certain countries in the EU, Japan, Australia, the United Kingdom, and certain countries in Latin America, among others, all of which have a different currency exposure than the U.S. dollar. We have a natural, partial operational hedge in some of these geographies where local manufacturing and assembly have been established for strategic purposes. However, we have exposure to the Mexican peso related to more significant manufacturing operations in Mexico. We also incur expenses in U.S. dollars, and currencies of the other countries in which we have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While we rarely hedge against foreign currency risk via derivative instruments, we monitor the movements of these currencies and actively engage in regional vendor load balancing to minimize foreign exchange risk. Our results of operations are subject to changes in foreign exchange rates due to the translation of our results to U.S. dollars, as well. A 10% appreciation/depreciation in the Mexican peso against the U.S. dollar would have increased or decreased our expenses incurred and paid in the Mexican peso by a</w:t>
      </w:r>
      <w:r>
        <w:rPr>
          <w:rFonts w:ascii="Times New Roman;serif" w:hAnsi="Times New Roman;serif"/>
          <w:b w:val="false"/>
          <w:color w:val="000000"/>
          <w:sz w:val="20"/>
          <w:shd w:fill="FFFFFF" w:val="clear"/>
        </w:rPr>
        <w:t>pproximately $35 million</w:t>
      </w:r>
      <w:r>
        <w:rPr>
          <w:color w:val="000000"/>
        </w:rPr>
        <w:t xml:space="preserve"> </w:t>
      </w:r>
      <w:r>
        <w:rPr>
          <w:rFonts w:ascii="Times New Roman;serif" w:hAnsi="Times New Roman;serif"/>
          <w:b w:val="false"/>
          <w:color w:val="000000"/>
          <w:sz w:val="20"/>
        </w:rPr>
        <w:t>in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approximately $12,755 million of gross outstanding indebtedness including $4,255 million of borrowings at variable interest rates before considering deferred financing costs and embedded derivatives of $195 million. The borrowings under the Senior Secured Credit Facilities accrue interest at variable interest rates and thus are subject to interest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Dollar Term Loans Facility bear interest at a floating rate per annum, based on the SOFR plus an applicable spread. As of December 31, 2025, we had $4,255 million outstanding under the Dollar Term Loans Facility, bearing interest at variable rates. Each change of 25 basis point in interest rates would result in a net change of $5.5 million in annual interest expense on term loan borrowing after considering hedging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Revolving Credit Facility bear interest at various rates per annum, all of which float with relevant rate indices, i.e., SOFR. As of December 31, 2025, we do not have borrowings outstanding under the Revolving Credit Facility. Although we do not have any borrowings outstanding under our Revolving Credit Facility as of December 31, 2025, had the Revolving Credit Facility been fully drawn, each change of 25 basis point in interest rates would result in a $2.5 million change in annual interest expense on such outstanding borrowings under the Revolving Credit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interest rate swaps and interest rate caps to manage interest rate risk on our outstanding term debts. Interest rate swaps and interest rate caps allow us to effectively convert floating-rate payments into fixed-rate payments. Interest expenses on term debts are partially offset by the corresponding losses and gains on the related hedging instruments. The effective interest rate for USD denominated variable rate borrowings would change to 5.9% from 7.1% for the year ended December 31, 2025, after consideration of the related hedging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95250"/>
                <wp:effectExtent l="0" t="0" r="0" b="0"/>
                <wp:wrapNone/>
                <wp:docPr id="81" name="Frame8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79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8 - Financial Statements and Supplementary Data</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INDEX TO CONSOLIDATED FINANCIAL STATEMENTS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600"/>
        <w:gridCol w:w="3106"/>
        <w:gridCol w:w="3126"/>
        <w:gridCol w:w="109"/>
        <w:gridCol w:w="109"/>
        <w:gridCol w:w="155"/>
      </w:tblGrid>
      <w:tr>
        <w:trPr/>
        <w:tc>
          <w:tcPr>
            <w:tcW w:w="3600"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91">
              <w:r>
                <w:rPr>
                  <w:rStyle w:val="InternetLink"/>
                  <w:rFonts w:ascii="Times New Roman;serif" w:hAnsi="Times New Roman;serif"/>
                  <w:b w:val="false"/>
                  <w:color w:val="0000FF"/>
                  <w:sz w:val="18"/>
                  <w:u w:val="single"/>
                </w:rPr>
                <w:t>Review Report of Independent Registered Public Accounting Firm</w:t>
              </w:r>
            </w:hyperlink>
            <w:r>
              <w:rPr>
                <w:color w:val="000000"/>
              </w:rPr>
              <w:t xml:space="preserve"> </w:t>
            </w:r>
            <w:r>
              <w:rPr>
                <w:rFonts w:ascii="Times New Roman;serif" w:hAnsi="Times New Roman;serif"/>
                <w:b w:val="false"/>
                <w:color w:val="000000"/>
                <w:sz w:val="18"/>
              </w:rPr>
              <w:t>(PCAOB ID-42)</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91">
              <w:r>
                <w:rPr>
                  <w:rStyle w:val="InternetLink"/>
                  <w:rFonts w:ascii="Times New Roman;serif" w:hAnsi="Times New Roman;serif"/>
                  <w:b w:val="false"/>
                  <w:strike w:val="false"/>
                  <w:dstrike w:val="false"/>
                  <w:color w:val="000000"/>
                  <w:sz w:val="20"/>
                  <w:u w:val="none"/>
                  <w:effect w:val="none"/>
                </w:rPr>
                <w:t>81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94">
              <w:r>
                <w:rPr>
                  <w:rStyle w:val="InternetLink"/>
                  <w:rFonts w:ascii="Times New Roman;serif" w:hAnsi="Times New Roman;serif"/>
                  <w:b w:val="false"/>
                  <w:color w:val="0000FF"/>
                  <w:sz w:val="18"/>
                  <w:u w:val="single"/>
                </w:rPr>
                <w:t>Consolidated Balance Sheets as of December 31, 2025 and December 31, 2024</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94">
              <w:r>
                <w:rPr>
                  <w:rStyle w:val="InternetLink"/>
                  <w:rFonts w:ascii="Times New Roman;serif" w:hAnsi="Times New Roman;serif"/>
                  <w:b w:val="false"/>
                  <w:strike w:val="false"/>
                  <w:dstrike w:val="false"/>
                  <w:color w:val="000000"/>
                  <w:sz w:val="20"/>
                  <w:u w:val="none"/>
                  <w:effect w:val="none"/>
                </w:rPr>
                <w:t>84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97">
              <w:r>
                <w:rPr>
                  <w:rStyle w:val="InternetLink"/>
                  <w:rFonts w:ascii="Times New Roman;serif" w:hAnsi="Times New Roman;serif"/>
                  <w:b w:val="false"/>
                  <w:color w:val="0000FF"/>
                  <w:sz w:val="18"/>
                  <w:u w:val="single"/>
                </w:rPr>
                <w:t>Consolidated Statements of Comprehensive Income for the Years Ended December 31, 2025, December 31, 2024 and December 31, 2023</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97">
              <w:r>
                <w:rPr>
                  <w:rStyle w:val="InternetLink"/>
                  <w:rFonts w:ascii="Times New Roman;serif" w:hAnsi="Times New Roman;serif"/>
                  <w:b w:val="false"/>
                  <w:strike w:val="false"/>
                  <w:dstrike w:val="false"/>
                  <w:color w:val="000000"/>
                  <w:sz w:val="20"/>
                  <w:u w:val="none"/>
                  <w:effect w:val="none"/>
                </w:rPr>
                <w:t>85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00">
              <w:r>
                <w:rPr>
                  <w:rStyle w:val="InternetLink"/>
                  <w:rFonts w:ascii="Times New Roman;serif" w:hAnsi="Times New Roman;serif"/>
                  <w:b w:val="false"/>
                  <w:color w:val="000080"/>
                  <w:sz w:val="18"/>
                  <w:u w:val="single"/>
                </w:rPr>
                <w:t xml:space="preserve">Consolidated Statements of </w:t>
              </w:r>
            </w:hyperlink>
            <w:hyperlink w:anchor="i1cdc18ea91cf4e9db5b992dbaf20b1e9_100">
              <w:r>
                <w:rPr>
                  <w:rStyle w:val="InternetLink"/>
                  <w:rFonts w:ascii="Times New Roman;serif" w:hAnsi="Times New Roman;serif"/>
                  <w:b w:val="false"/>
                  <w:color w:val="000080"/>
                  <w:sz w:val="18"/>
                  <w:u w:val="single"/>
                </w:rPr>
                <w:t>S</w:t>
              </w:r>
            </w:hyperlink>
            <w:hyperlink w:anchor="i1cdc18ea91cf4e9db5b992dbaf20b1e9_100">
              <w:r>
                <w:rPr>
                  <w:rStyle w:val="InternetLink"/>
                  <w:rFonts w:ascii="Times New Roman;serif" w:hAnsi="Times New Roman;serif"/>
                  <w:b w:val="false"/>
                  <w:color w:val="000080"/>
                  <w:sz w:val="18"/>
                  <w:u w:val="single"/>
                </w:rPr>
                <w:t>tockholders</w:t>
              </w:r>
            </w:hyperlink>
            <w:hyperlink w:anchor="i1cdc18ea91cf4e9db5b992dbaf20b1e9_100">
              <w:r>
                <w:rPr>
                  <w:rStyle w:val="InternetLink"/>
                  <w:rFonts w:ascii="Times New Roman;serif" w:hAnsi="Times New Roman;serif"/>
                  <w:b w:val="false"/>
                  <w:color w:val="000080"/>
                  <w:sz w:val="18"/>
                  <w:u w:val="single"/>
                </w:rPr>
                <w:t>’</w:t>
              </w:r>
            </w:hyperlink>
            <w:hyperlink w:anchor="i1cdc18ea91cf4e9db5b992dbaf20b1e9_100">
              <w:r>
                <w:rPr>
                  <w:rStyle w:val="InternetLink"/>
                  <w:rFonts w:ascii="Times New Roman;serif" w:hAnsi="Times New Roman;serif"/>
                  <w:b w:val="false"/>
                  <w:color w:val="000080"/>
                  <w:sz w:val="18"/>
                  <w:u w:val="single"/>
                </w:rPr>
                <w:t xml:space="preserve"> Equity, </w:t>
              </w:r>
            </w:hyperlink>
            <w:hyperlink w:anchor="i1cdc18ea91cf4e9db5b992dbaf20b1e9_100">
              <w:r>
                <w:rPr>
                  <w:rStyle w:val="InternetLink"/>
                  <w:rFonts w:ascii="Times New Roman;serif" w:hAnsi="Times New Roman;serif"/>
                  <w:b w:val="false"/>
                  <w:color w:val="000080"/>
                  <w:sz w:val="18"/>
                  <w:u w:val="single"/>
                </w:rPr>
                <w:t>Mezzanine Equity and Partners’ Capital for the Years Ended December 31, 2025, December 31, 2024 and December 31, 2023</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0">
              <w:r>
                <w:rPr>
                  <w:rStyle w:val="InternetLink"/>
                  <w:rFonts w:ascii="Times New Roman;serif" w:hAnsi="Times New Roman;serif"/>
                  <w:b w:val="false"/>
                  <w:strike w:val="false"/>
                  <w:dstrike w:val="false"/>
                  <w:color w:val="000000"/>
                  <w:sz w:val="20"/>
                  <w:u w:val="none"/>
                  <w:effect w:val="none"/>
                </w:rPr>
                <w:t>86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03">
              <w:r>
                <w:rPr>
                  <w:rStyle w:val="InternetLink"/>
                  <w:rFonts w:ascii="Times New Roman;serif" w:hAnsi="Times New Roman;serif"/>
                  <w:b w:val="false"/>
                  <w:color w:val="0000FF"/>
                  <w:sz w:val="18"/>
                  <w:u w:val="single"/>
                </w:rPr>
                <w:t>Consolidated Statements of Cash Flows for the Years Ended December 31, 2025, December 31, 2024 and December 31, 2023</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3">
              <w:r>
                <w:rPr>
                  <w:rStyle w:val="InternetLink"/>
                  <w:rFonts w:ascii="Times New Roman;serif" w:hAnsi="Times New Roman;serif"/>
                  <w:b w:val="false"/>
                  <w:strike w:val="false"/>
                  <w:dstrike w:val="false"/>
                  <w:color w:val="000000"/>
                  <w:sz w:val="20"/>
                  <w:u w:val="none"/>
                  <w:effect w:val="none"/>
                </w:rPr>
                <w:t>88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dc18ea91cf4e9db5b992dbaf20b1e9_106">
              <w:r>
                <w:rPr>
                  <w:rStyle w:val="InternetLink"/>
                  <w:rFonts w:ascii="Times New Roman;serif" w:hAnsi="Times New Roman;serif"/>
                  <w:b w:val="false"/>
                  <w:color w:val="000080"/>
                  <w:sz w:val="18"/>
                  <w:u w:val="single"/>
                </w:rPr>
                <w:t xml:space="preserve">Notes to </w:t>
              </w:r>
            </w:hyperlink>
            <w:hyperlink w:anchor="i1cdc18ea91cf4e9db5b992dbaf20b1e9_106">
              <w:r>
                <w:rPr>
                  <w:rStyle w:val="InternetLink"/>
                  <w:rFonts w:ascii="Times New Roman;serif" w:hAnsi="Times New Roman;serif"/>
                  <w:b w:val="false"/>
                  <w:color w:val="000080"/>
                  <w:sz w:val="18"/>
                  <w:u w:val="single"/>
                </w:rPr>
                <w:t>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dc18ea91cf4e9db5b992dbaf20b1e9_106">
              <w:r>
                <w:rPr>
                  <w:rStyle w:val="InternetLink"/>
                  <w:rFonts w:ascii="Times New Roman;serif" w:hAnsi="Times New Roman;serif"/>
                  <w:b w:val="false"/>
                  <w:strike w:val="false"/>
                  <w:dstrike w:val="false"/>
                  <w:color w:val="000000"/>
                  <w:sz w:val="20"/>
                  <w:u w:val="none"/>
                  <w:effect w:val="none"/>
                </w:rPr>
                <w:t>90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95250"/>
                <wp:effectExtent l="0" t="0" r="0" b="0"/>
                <wp:wrapNone/>
                <wp:docPr id="82" name="Frame8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80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3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Medline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Medline Inc. (the Company) as of December 31, 2025 and 2024, the related consolidated statements of comprehensive income, stockholders’ equity, mezzanine equity and partners’ capital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xml:space="preserve">                                 </w:t>
                            </w:r>
                            <w:r>
                              <w:rPr>
                                <w:rFonts w:ascii="Times New Roman;serif" w:hAnsi="Times New Roman;serif"/>
                                <w:b w:val="false"/>
                                <w:color w:val="000000"/>
                                <w:sz w:val="13"/>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xml:space="preserve">                                 </w:t>
                      </w:r>
                      <w:r>
                        <w:rPr>
                          <w:rFonts w:ascii="Times New Roman;serif" w:hAnsi="Times New Roman;serif"/>
                          <w:b w:val="false"/>
                          <w:color w:val="000000"/>
                          <w:sz w:val="13"/>
                        </w:rPr>
                        <w:t>81</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67"/>
        <w:gridCol w:w="411"/>
        <w:gridCol w:w="414"/>
        <w:gridCol w:w="2911"/>
        <w:gridCol w:w="2486"/>
        <w:gridCol w:w="3516"/>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Accrued customer rebates</w:t>
            </w:r>
          </w:p>
        </w:tc>
      </w:tr>
      <w:tr>
        <w:trPr/>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91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disclosed in Note 1 to the consolidated financial statements under the caption “Revenue Recognition”, the Company’s product sales to customers are adjusted for variable consideration, including customer rebates, which are estimated at the point revenue is recognized. The Company’s estimate of customer rebates is based upon the contractual rebate terms between the Company and its customers, products subject to a rebate, the lag between the sale and the payment of the rebate, and historical rebate payment trends. At December 31, 2025, the Company had $406 million in customer rebates and distributor chargebacks, of which a large portion relates to customer rebates.</w:t>
            </w:r>
          </w:p>
          <w:p>
            <w:pPr>
              <w:pStyle w:val="TableContents"/>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Auditing the customer rebates liability was challenging due to the significant volume of transactions and data related to product gross sales, customer rebate rates, as well as historical rebate payments, that are used in determining the accrual balance.</w:t>
            </w:r>
          </w:p>
          <w:p>
            <w:pPr>
              <w:pStyle w:val="TableContents"/>
              <w:bidi w:val="0"/>
              <w:spacing w:before="0" w:after="0"/>
              <w:jc w:val="both"/>
              <w:rPr/>
            </w:pPr>
            <w:r>
              <w:rPr/>
            </w:r>
          </w:p>
          <w:p>
            <w:pPr>
              <w:pStyle w:val="TableContents"/>
              <w:bidi w:val="0"/>
              <w:spacing w:lineRule="auto" w:line="288" w:before="0" w:after="0"/>
              <w:jc w:val="both"/>
              <w:rPr>
                <w:color w:val="000000"/>
                <w:shd w:fill="FFFFFF" w:val="clear"/>
              </w:rPr>
            </w:pPr>
            <w:r>
              <w:rPr>
                <w:color w:val="000000"/>
                <w:shd w:fill="FFFFFF" w:val="clear"/>
              </w:rPr>
              <w:t> </w:t>
            </w:r>
          </w:p>
        </w:tc>
      </w:tr>
      <w:tr>
        <w:trPr/>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91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test the Company’s customer rebate liability, our audit procedures included, among others, testing the completeness and accuracy of the underlying data used in the estimate, including, but not limited to, gross sales transactions, customer rebate rates, and historical rebate payments. We assessed the reasonableness of the data by corroborating payments to customer contracts and recalculated the variable consideration recognized based upon gross sales subject to the rebate and the executed rate per the customer contract and evaluated any differences. We recalculated the total variable consideration on gross sales and the related accrual based upon the historical rebates as a percentage of gross sales and an independently calculated lag between rebate recognition and settlement. We evaluated the change in the accrued liability by performing inquiries and analytical procedures considering changes in contractual rebate rates, expected lag, and gross sales performance. We also tested subsequent settlements of customer rebates to assess the impact to the accrual at the balance sheet date and compared that to the Company’s estimate.</w:t>
            </w:r>
          </w:p>
        </w:tc>
      </w:tr>
      <w:tr>
        <w:trPr/>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Tax receivable agreement liability</w:t>
            </w:r>
          </w:p>
        </w:tc>
      </w:tr>
      <w:tr>
        <w:trPr/>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91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disclosed in Note 1 and Note 11 to the consolidated financial statements under the captions “Tax Receivable Agreement”, in connection with the Company’s initial public offering (IPO), the Company entered into the Tax Receivable Agreement (TRA) with certain pre-IPO owners. The TRA provides for the payment by the Company to such pre-IPO owners of 90% of certain tax benefits, if any, that the Company actually realizes, or is deemed to realize. Management calculates the TRA liability by determining the tax basis subject to the TRA and applying an assumed income tax rate to the basis differences to calculate the tax benefits. As of December 31, 2025, the Company has a liability due to the pre-IPO owners under the TRA of $3,542 million. </w:t>
            </w:r>
          </w:p>
          <w:p>
            <w:pPr>
              <w:pStyle w:val="TableContents"/>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Auditing the initial TRA liability was challenging due to the complexity of management’s determination of tax basis used as an input to the TRA liability, specifically: (i) Medline Inc.’s allocable share of existing tax basis in Medline Holdings’ assets acquired in the IPO and (ii) increases in Medline Inc.’s allocable share of existing tax basis and tax basis adjustments to the tangible and intangible assets of Medline Holdings as a result of sales or exchanges of Common Units in connection with or after the IPO. </w:t>
            </w:r>
          </w:p>
          <w:p>
            <w:pPr>
              <w:pStyle w:val="TableContents"/>
              <w:bidi w:val="0"/>
              <w:spacing w:lineRule="auto" w:line="288" w:before="0" w:after="0"/>
              <w:jc w:val="both"/>
              <w:rPr>
                <w:color w:val="000000"/>
                <w:shd w:fill="FFFFFF" w:val="clear"/>
              </w:rPr>
            </w:pPr>
            <w:r>
              <w:rPr>
                <w:color w:val="000000"/>
                <w:shd w:fill="FFFFFF" w:val="clear"/>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xml:space="preserve">                                 </w:t>
                            </w:r>
                            <w:r>
                              <w:rPr>
                                <w:rFonts w:ascii="Times New Roman;serif" w:hAnsi="Times New Roman;serif"/>
                                <w:b w:val="false"/>
                                <w:color w:val="000000"/>
                                <w:sz w:val="13"/>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xml:space="preserve">                                 </w:t>
                      </w:r>
                      <w:r>
                        <w:rPr>
                          <w:rFonts w:ascii="Times New Roman;serif" w:hAnsi="Times New Roman;serif"/>
                          <w:b w:val="false"/>
                          <w:color w:val="000000"/>
                          <w:sz w:val="13"/>
                        </w:rPr>
                        <w:t>82</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71"/>
        <w:gridCol w:w="414"/>
        <w:gridCol w:w="416"/>
        <w:gridCol w:w="2604"/>
        <w:gridCol w:w="2604"/>
        <w:gridCol w:w="3696"/>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9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To test the TRA liability, our audit procedures included inquiring of management and its external tax specialists, reviewing the tax receivable agreement to obtain an understanding of the TRA, and comparing the calculation to the TRA for consistency. With the support of income tax specialists, our testing included, among others, performing procedures to validate the existence, completeness, and accuracy of the underlying tax basis used in the calculation of the TRA liability, developing an independent calculation of the tax basis and comparing the independent calculation to management’s calculation to evaluate the reasonableness of the tax basis, and assessing management’s application of the tax laws.</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Ernst &amp; Young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served as the Company’s auditor since 2022.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Chicago, Illinois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February 25,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xml:space="preserve">                                 </w:t>
                            </w:r>
                            <w:r>
                              <w:rPr>
                                <w:rFonts w:ascii="Times New Roman;serif" w:hAnsi="Times New Roman;serif"/>
                                <w:b w:val="false"/>
                                <w:color w:val="000000"/>
                                <w:sz w:val="13"/>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xml:space="preserve">                                 </w:t>
                      </w:r>
                      <w:r>
                        <w:rPr>
                          <w:rFonts w:ascii="Times New Roman;serif" w:hAnsi="Times New Roman;serif"/>
                          <w:b w:val="false"/>
                          <w:color w:val="000000"/>
                          <w:sz w:val="13"/>
                        </w:rPr>
                        <w:t>83</w:t>
                      </w:r>
                    </w:p>
                  </w:txbxContent>
                </v:textbox>
                <w10:wrap type="none"/>
              </v:rect>
            </w:pict>
          </mc:Fallback>
        </mc:AlternateContent>
      </w:r>
    </w:p>
    <w:p>
      <w:pPr>
        <w:pStyle w:val="TextBody"/>
        <w:bidi w:val="0"/>
        <w:spacing w:before="0" w:after="0"/>
        <w:jc w:val="center"/>
        <w:rPr/>
      </w:pPr>
      <w:r>
        <w:rPr/>
      </w:r>
    </w:p>
    <w:tbl>
      <w:tblPr>
        <w:tblW w:w="1454" w:type="dxa"/>
        <w:jc w:val="center"/>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02"/>
        <w:gridCol w:w="2047"/>
        <w:gridCol w:w="2064"/>
        <w:gridCol w:w="303"/>
        <w:gridCol w:w="998"/>
        <w:gridCol w:w="168"/>
        <w:gridCol w:w="109"/>
        <w:gridCol w:w="109"/>
        <w:gridCol w:w="109"/>
        <w:gridCol w:w="293"/>
        <w:gridCol w:w="968"/>
        <w:gridCol w:w="235"/>
      </w:tblGrid>
      <w:tr>
        <w:trPr/>
        <w:tc>
          <w:tcPr>
            <w:tcW w:w="2802"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As of December 31,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8"/>
              </w:rPr>
            </w:pPr>
            <w:r>
              <w:rPr>
                <w:rFonts w:ascii="Times New Roman;serif" w:hAnsi="Times New Roman;serif"/>
                <w:b w:val="false"/>
                <w:color w:val="000000"/>
                <w:sz w:val="18"/>
              </w:rPr>
              <w:t>As of December 31, 2024</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 for credit losses of $152 and $108 as of December 31, 2025 and 2024, respectively</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3,219 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4,456 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4,595 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8,065 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14,559 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non-current assets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23,027 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23,111 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35,978 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MEZZANINE EQUITY AND STOCKHOLDERS' EQUITY / PARTNERS’ CAPITAL</w:t>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 and other short-term borrowings</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less current portion</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16,416 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liability</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16,708 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17,014 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19,198 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19,454 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Mezzanine equity</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Stockholders’ equity / partners’ capital</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 50,000 shares authorized; 812 and no shares issued and outstanding as of December 31, 2025 and 2024, respectively</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$0.0001 per share; 50,000 shares authorized; 502 and no shares issued and outstanding as of December 31, 2025 and 2024, respectively</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$0.0001; 5,000 shares authorized; no shares issued and outstanding</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Partners’ capital</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Total Medline Inc. stockholders’ equity / partners’ capital</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16,158 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Total stockholders’ equity / partners’ capital</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16,158 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Total liabilities, stockholders’ equity and mezzanine equity / partners’ capital</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35,978 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916305"/>
                <wp:effectExtent l="0" t="0" r="0" b="0"/>
                <wp:wrapNone/>
                <wp:docPr id="86" name="Frame85"/>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3419" w:type="dxa"/>
                              <w:jc w:val="center"/>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3419" w:type="dxa"/>
                        <w:jc w:val="center"/>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1454" w:type="dxa"/>
        <w:jc w:val="center"/>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w:t>
      </w:r>
    </w:p>
    <w:tbl>
      <w:tblPr>
        <w:tblW w:w="10205" w:type="dxa"/>
        <w:jc w:val="left"/>
        <w:tblInd w:w="0" w:type="dxa"/>
        <w:tblLayout w:type="fixed"/>
        <w:tblCellMar>
          <w:top w:w="28" w:type="dxa"/>
          <w:left w:w="28" w:type="dxa"/>
          <w:bottom w:w="28" w:type="dxa"/>
          <w:right w:w="28" w:type="dxa"/>
        </w:tblCellMar>
      </w:tblPr>
      <w:tblGrid>
        <w:gridCol w:w="1787"/>
        <w:gridCol w:w="1500"/>
        <w:gridCol w:w="1508"/>
        <w:gridCol w:w="109"/>
        <w:gridCol w:w="109"/>
        <w:gridCol w:w="109"/>
        <w:gridCol w:w="109"/>
        <w:gridCol w:w="293"/>
        <w:gridCol w:w="967"/>
        <w:gridCol w:w="163"/>
        <w:gridCol w:w="109"/>
        <w:gridCol w:w="109"/>
        <w:gridCol w:w="109"/>
        <w:gridCol w:w="293"/>
        <w:gridCol w:w="967"/>
        <w:gridCol w:w="163"/>
        <w:gridCol w:w="109"/>
        <w:gridCol w:w="109"/>
        <w:gridCol w:w="109"/>
        <w:gridCol w:w="289"/>
        <w:gridCol w:w="952"/>
        <w:gridCol w:w="233"/>
      </w:tblGrid>
      <w:tr>
        <w:trPr/>
        <w:tc>
          <w:tcPr>
            <w:tcW w:w="178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1" w:type="dxa"/>
            <w:gridSpan w:val="11"/>
            <w:tcBorders/>
            <w:tcMar>
              <w:top w:w="0" w:type="dxa"/>
              <w:left w:w="0" w:type="dxa"/>
              <w:bottom w:w="0" w:type="dxa"/>
              <w:right w:w="0" w:type="dxa"/>
            </w:tcMar>
            <w:vAlign w:val="center"/>
          </w:tcPr>
          <w:p>
            <w:pPr>
              <w:pStyle w:val="TableContents"/>
              <w:bidi w:val="0"/>
              <w:spacing w:lineRule="auto" w:line="288" w:before="0" w:after="0"/>
              <w:ind w:left="0" w:right="0" w:hanging="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1801" w:type="dxa"/>
            <w:gridSpan w:val="6"/>
            <w:tcBorders/>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23,231 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17,346 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5,885 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4,635 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(loss)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income attributable to Medline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Net loss per share attributable to Medline Inc.</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Weighted average number of Class A common shares outstanding</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plan,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comprehensive income (loss), net of tax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Comprehensive income attributable to Medline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br/>
      </w:r>
      <w:r>
        <w:rPr>
          <w:rFonts w:ascii="Times New Roman;serif" w:hAnsi="Times New Roman;serif"/>
          <w:b w:val="false"/>
          <w:color w:val="000000"/>
          <w:sz w:val="10"/>
        </w:rPr>
        <w:t xml:space="preserve">(1) </w:t>
      </w:r>
      <w:r>
        <w:rPr>
          <w:rFonts w:ascii="Times New Roman;serif" w:hAnsi="Times New Roman;serif"/>
          <w:b w:val="false"/>
          <w:color w:val="000000"/>
          <w:sz w:val="16"/>
        </w:rPr>
        <w:t>Represents net loss per share of Class A common stock and weighted-average shares of Class A common stock outstanding for the period from December 17, 2025, the date after the SEC declared effective the Company's Registration Statement on S-1 filed in connection with its IPO, through December 31, 2025, the period following the reorganization transactions and initial public offering. See Note 1—Nature of Business and Significant Accounting Policies and Note 18—Net Income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916305"/>
                <wp:effectExtent l="0" t="0" r="0" b="0"/>
                <wp:wrapNone/>
                <wp:docPr id="87" name="Frame86"/>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3419" w:type="dxa"/>
                              <w:jc w:val="center"/>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3419" w:type="dxa"/>
                        <w:jc w:val="center"/>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800" w:type="dxa"/>
        <w:jc w:val="left"/>
        <w:tblInd w:w="0" w:type="dxa"/>
        <w:tblLayout w:type="fixed"/>
        <w:tblCellMar>
          <w:top w:w="28" w:type="dxa"/>
          <w:left w:w="28" w:type="dxa"/>
          <w:bottom w:w="28" w:type="dxa"/>
          <w:right w:w="28" w:type="dxa"/>
        </w:tblCellMar>
      </w:tblPr>
      <w:tblGrid>
        <w:gridCol w:w="577"/>
        <w:gridCol w:w="507"/>
        <w:gridCol w:w="716"/>
      </w:tblGrid>
      <w:tr>
        <w:trPr/>
        <w:tc>
          <w:tcPr>
            <w:tcW w:w="57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center"/>
              <w:rPr/>
            </w:pPr>
            <w:r>
              <w:rPr/>
              <w:t>MEDLINE INC.</w:t>
            </w:r>
          </w:p>
        </w:tc>
      </w:tr>
      <w:tr>
        <w:trPr/>
        <w:tc>
          <w:tcPr>
            <w:tcW w:w="18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MEZZANINE EQUITY AND PARTNERS' CAPITAL </w:t>
      </w:r>
    </w:p>
    <w:tbl>
      <w:tblPr>
        <w:tblW w:w="11546" w:type="dxa"/>
        <w:jc w:val="center"/>
        <w:tblInd w:w="0" w:type="dxa"/>
        <w:tblLayout w:type="fixed"/>
        <w:tblCellMar>
          <w:top w:w="28" w:type="dxa"/>
          <w:left w:w="28" w:type="dxa"/>
          <w:bottom w:w="28" w:type="dxa"/>
          <w:right w:w="28" w:type="dxa"/>
        </w:tblCellMar>
      </w:tblPr>
      <w:tblGrid>
        <w:gridCol w:w="888"/>
        <w:gridCol w:w="236"/>
        <w:gridCol w:w="212"/>
        <w:gridCol w:w="231"/>
        <w:gridCol w:w="496"/>
        <w:gridCol w:w="129"/>
        <w:gridCol w:w="196"/>
        <w:gridCol w:w="646"/>
        <w:gridCol w:w="109"/>
        <w:gridCol w:w="210"/>
        <w:gridCol w:w="211"/>
        <w:gridCol w:w="186"/>
        <w:gridCol w:w="196"/>
        <w:gridCol w:w="406"/>
        <w:gridCol w:w="109"/>
        <w:gridCol w:w="210"/>
        <w:gridCol w:w="211"/>
        <w:gridCol w:w="186"/>
        <w:gridCol w:w="196"/>
        <w:gridCol w:w="406"/>
        <w:gridCol w:w="109"/>
        <w:gridCol w:w="196"/>
        <w:gridCol w:w="646"/>
        <w:gridCol w:w="109"/>
        <w:gridCol w:w="281"/>
        <w:gridCol w:w="583"/>
        <w:gridCol w:w="157"/>
        <w:gridCol w:w="365"/>
        <w:gridCol w:w="617"/>
        <w:gridCol w:w="204"/>
        <w:gridCol w:w="109"/>
        <w:gridCol w:w="109"/>
        <w:gridCol w:w="109"/>
        <w:gridCol w:w="266"/>
        <w:gridCol w:w="756"/>
        <w:gridCol w:w="149"/>
        <w:gridCol w:w="218"/>
        <w:gridCol w:w="720"/>
        <w:gridCol w:w="173"/>
      </w:tblGrid>
      <w:tr>
        <w:trPr/>
        <w:tc>
          <w:tcPr>
            <w:tcW w:w="8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3"/>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Year ended December 31, 2025</w:t>
            </w:r>
          </w:p>
        </w:tc>
        <w:tc>
          <w:tcPr>
            <w:tcW w:w="1111"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Mezzanine Equity</w:t>
            </w:r>
          </w:p>
        </w:tc>
        <w:tc>
          <w:tcPr>
            <w:tcW w:w="951"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Partners’ Capital</w:t>
            </w:r>
            <w:r>
              <w:rPr>
                <w:rFonts w:ascii="Times New Roman;serif" w:hAnsi="Times New Roman;serif"/>
                <w:b w:val="false"/>
                <w:color w:val="000000"/>
                <w:sz w:val="10"/>
              </w:rPr>
              <w:t>(1)</w:t>
            </w:r>
          </w:p>
        </w:tc>
        <w:tc>
          <w:tcPr>
            <w:tcW w:w="13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13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 Stockholders’ Equity / Partners’ Capital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951"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2025</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16"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16,158 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prior to reorganization transactions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prior to reorganization transactions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partners prior to reorganization transactions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 from liability-classified units prior to reorganization transactions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repurchased prior to reorganization transactions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prior to reorganization transactions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16, 2025</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16"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16,872 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the reorganization transactions</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16"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609</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9,206 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net of costs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Class A common stock and redemptions of common units from pre-IPO owners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common units for Class A common stock</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Tax receivable agreement</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Recognition of deferred tax assets from equity transactions</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subsequent to reorganization transactions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subsequent to reorganization transactions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subsequent to reorganization transactions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16"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8,549 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19,286 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Reflects Partners’ Capital, net of Accumulated other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916305"/>
                <wp:effectExtent l="0" t="0" r="0" b="0"/>
                <wp:wrapNone/>
                <wp:docPr id="88" name="Frame87"/>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3419" w:type="dxa"/>
                              <w:jc w:val="left"/>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3419" w:type="dxa"/>
                        <w:jc w:val="left"/>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800" w:type="dxa"/>
        <w:jc w:val="left"/>
        <w:tblInd w:w="0" w:type="dxa"/>
        <w:tblLayout w:type="fixed"/>
        <w:tblCellMar>
          <w:top w:w="28" w:type="dxa"/>
          <w:left w:w="28" w:type="dxa"/>
          <w:bottom w:w="28" w:type="dxa"/>
          <w:right w:w="28" w:type="dxa"/>
        </w:tblCellMar>
      </w:tblPr>
      <w:tblGrid>
        <w:gridCol w:w="577"/>
        <w:gridCol w:w="507"/>
        <w:gridCol w:w="716"/>
      </w:tblGrid>
      <w:tr>
        <w:trPr/>
        <w:tc>
          <w:tcPr>
            <w:tcW w:w="57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center"/>
              <w:rPr/>
            </w:pPr>
            <w:r>
              <w:rPr/>
              <w:t>MEDLINE INC.</w:t>
            </w:r>
          </w:p>
        </w:tc>
      </w:tr>
      <w:tr>
        <w:trPr/>
        <w:tc>
          <w:tcPr>
            <w:tcW w:w="18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CONSOLIDATED STATEMENTS OF STOCKHOLDERS' EQUITY, MEZZANINE EQUITY AND PARTNERS' CAPITAL                                                 </w:t>
      </w:r>
    </w:p>
    <w:tbl>
      <w:tblPr>
        <w:tblW w:w="15004" w:type="dxa"/>
        <w:jc w:val="left"/>
        <w:tblInd w:w="0" w:type="dxa"/>
        <w:tblLayout w:type="fixed"/>
        <w:tblCellMar>
          <w:top w:w="28" w:type="dxa"/>
          <w:left w:w="28" w:type="dxa"/>
          <w:bottom w:w="28" w:type="dxa"/>
          <w:right w:w="28" w:type="dxa"/>
        </w:tblCellMar>
      </w:tblPr>
      <w:tblGrid>
        <w:gridCol w:w="689"/>
        <w:gridCol w:w="435"/>
        <w:gridCol w:w="212"/>
        <w:gridCol w:w="155"/>
        <w:gridCol w:w="155"/>
        <w:gridCol w:w="156"/>
        <w:gridCol w:w="109"/>
        <w:gridCol w:w="109"/>
        <w:gridCol w:w="109"/>
        <w:gridCol w:w="196"/>
        <w:gridCol w:w="421"/>
        <w:gridCol w:w="109"/>
        <w:gridCol w:w="109"/>
        <w:gridCol w:w="109"/>
        <w:gridCol w:w="109"/>
        <w:gridCol w:w="156"/>
        <w:gridCol w:w="156"/>
        <w:gridCol w:w="154"/>
        <w:gridCol w:w="109"/>
        <w:gridCol w:w="109"/>
        <w:gridCol w:w="109"/>
        <w:gridCol w:w="196"/>
        <w:gridCol w:w="421"/>
        <w:gridCol w:w="109"/>
        <w:gridCol w:w="109"/>
        <w:gridCol w:w="109"/>
        <w:gridCol w:w="109"/>
        <w:gridCol w:w="231"/>
        <w:gridCol w:w="496"/>
        <w:gridCol w:w="129"/>
        <w:gridCol w:w="109"/>
        <w:gridCol w:w="109"/>
        <w:gridCol w:w="109"/>
        <w:gridCol w:w="199"/>
        <w:gridCol w:w="199"/>
        <w:gridCol w:w="203"/>
        <w:gridCol w:w="109"/>
        <w:gridCol w:w="109"/>
        <w:gridCol w:w="109"/>
        <w:gridCol w:w="196"/>
        <w:gridCol w:w="646"/>
        <w:gridCol w:w="109"/>
        <w:gridCol w:w="109"/>
        <w:gridCol w:w="109"/>
        <w:gridCol w:w="109"/>
        <w:gridCol w:w="155"/>
        <w:gridCol w:w="155"/>
        <w:gridCol w:w="156"/>
        <w:gridCol w:w="109"/>
        <w:gridCol w:w="109"/>
        <w:gridCol w:w="109"/>
        <w:gridCol w:w="196"/>
        <w:gridCol w:w="421"/>
        <w:gridCol w:w="109"/>
        <w:gridCol w:w="109"/>
        <w:gridCol w:w="109"/>
        <w:gridCol w:w="109"/>
        <w:gridCol w:w="155"/>
        <w:gridCol w:w="155"/>
        <w:gridCol w:w="156"/>
        <w:gridCol w:w="109"/>
        <w:gridCol w:w="109"/>
        <w:gridCol w:w="109"/>
        <w:gridCol w:w="208"/>
        <w:gridCol w:w="351"/>
        <w:gridCol w:w="117"/>
        <w:gridCol w:w="327"/>
        <w:gridCol w:w="320"/>
        <w:gridCol w:w="687"/>
        <w:gridCol w:w="179"/>
        <w:gridCol w:w="327"/>
        <w:gridCol w:w="196"/>
        <w:gridCol w:w="646"/>
        <w:gridCol w:w="109"/>
        <w:gridCol w:w="109"/>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7" w:type="dxa"/>
            <w:gridSpan w:val="7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Mezzanine Equity</w:t>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831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Partners'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Mezzanine Equity</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CUPI</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Total Partners’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2024</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 from liability-classified units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repurchased</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puttable common units to redemption value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stock-based compensation to redemption value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partners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4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tbl>
      <w:tblPr>
        <w:tblW w:w="14789" w:type="dxa"/>
        <w:jc w:val="center"/>
        <w:tblInd w:w="0" w:type="dxa"/>
        <w:tblLayout w:type="fixed"/>
        <w:tblCellMar>
          <w:top w:w="28" w:type="dxa"/>
          <w:left w:w="28" w:type="dxa"/>
          <w:bottom w:w="28" w:type="dxa"/>
          <w:right w:w="28" w:type="dxa"/>
        </w:tblCellMar>
      </w:tblPr>
      <w:tblGrid>
        <w:gridCol w:w="678"/>
        <w:gridCol w:w="281"/>
        <w:gridCol w:w="212"/>
        <w:gridCol w:w="155"/>
        <w:gridCol w:w="155"/>
        <w:gridCol w:w="156"/>
        <w:gridCol w:w="109"/>
        <w:gridCol w:w="109"/>
        <w:gridCol w:w="109"/>
        <w:gridCol w:w="196"/>
        <w:gridCol w:w="421"/>
        <w:gridCol w:w="109"/>
        <w:gridCol w:w="109"/>
        <w:gridCol w:w="109"/>
        <w:gridCol w:w="109"/>
        <w:gridCol w:w="167"/>
        <w:gridCol w:w="167"/>
        <w:gridCol w:w="132"/>
        <w:gridCol w:w="109"/>
        <w:gridCol w:w="109"/>
        <w:gridCol w:w="109"/>
        <w:gridCol w:w="236"/>
        <w:gridCol w:w="331"/>
        <w:gridCol w:w="109"/>
        <w:gridCol w:w="109"/>
        <w:gridCol w:w="109"/>
        <w:gridCol w:w="109"/>
        <w:gridCol w:w="231"/>
        <w:gridCol w:w="496"/>
        <w:gridCol w:w="129"/>
        <w:gridCol w:w="109"/>
        <w:gridCol w:w="109"/>
        <w:gridCol w:w="109"/>
        <w:gridCol w:w="199"/>
        <w:gridCol w:w="199"/>
        <w:gridCol w:w="203"/>
        <w:gridCol w:w="109"/>
        <w:gridCol w:w="109"/>
        <w:gridCol w:w="109"/>
        <w:gridCol w:w="196"/>
        <w:gridCol w:w="646"/>
        <w:gridCol w:w="109"/>
        <w:gridCol w:w="109"/>
        <w:gridCol w:w="109"/>
        <w:gridCol w:w="109"/>
        <w:gridCol w:w="155"/>
        <w:gridCol w:w="155"/>
        <w:gridCol w:w="156"/>
        <w:gridCol w:w="109"/>
        <w:gridCol w:w="109"/>
        <w:gridCol w:w="109"/>
        <w:gridCol w:w="196"/>
        <w:gridCol w:w="421"/>
        <w:gridCol w:w="109"/>
        <w:gridCol w:w="109"/>
        <w:gridCol w:w="109"/>
        <w:gridCol w:w="109"/>
        <w:gridCol w:w="155"/>
        <w:gridCol w:w="155"/>
        <w:gridCol w:w="156"/>
        <w:gridCol w:w="109"/>
        <w:gridCol w:w="109"/>
        <w:gridCol w:w="109"/>
        <w:gridCol w:w="208"/>
        <w:gridCol w:w="351"/>
        <w:gridCol w:w="117"/>
        <w:gridCol w:w="327"/>
        <w:gridCol w:w="320"/>
        <w:gridCol w:w="687"/>
        <w:gridCol w:w="179"/>
        <w:gridCol w:w="327"/>
        <w:gridCol w:w="196"/>
        <w:gridCol w:w="646"/>
        <w:gridCol w:w="109"/>
        <w:gridCol w:w="109"/>
        <w:gridCol w:w="109"/>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7" w:type="dxa"/>
            <w:gridSpan w:val="7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Mezzanine Equity</w:t>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831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Partners'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Mezzanine Equity</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CUPI</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Total Partners’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2023</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puttable common units to redemption value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of stock-based compensation to redemption value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partners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2023</w:t>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916305"/>
                <wp:effectExtent l="0" t="0" r="0" b="0"/>
                <wp:wrapNone/>
                <wp:docPr id="89" name="Frame88"/>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3419" w:type="dxa"/>
                              <w:jc w:val="left"/>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3419" w:type="dxa"/>
                        <w:jc w:val="left"/>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00" w:after="283"/>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198"/>
        <w:gridCol w:w="1797"/>
        <w:gridCol w:w="1780"/>
        <w:gridCol w:w="282"/>
        <w:gridCol w:w="803"/>
        <w:gridCol w:w="157"/>
        <w:gridCol w:w="109"/>
        <w:gridCol w:w="109"/>
        <w:gridCol w:w="109"/>
        <w:gridCol w:w="282"/>
        <w:gridCol w:w="803"/>
        <w:gridCol w:w="157"/>
        <w:gridCol w:w="109"/>
        <w:gridCol w:w="109"/>
        <w:gridCol w:w="109"/>
        <w:gridCol w:w="278"/>
        <w:gridCol w:w="790"/>
        <w:gridCol w:w="224"/>
      </w:tblGrid>
      <w:tr>
        <w:trPr/>
        <w:tc>
          <w:tcPr>
            <w:tcW w:w="21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15"/>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5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 on debt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 (gain),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inventory step-up</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businesses, net of cash acquired</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asset acquisitions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Class A common stock in initial public offering, net of underwriting discounts and commissions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Class A common stock and redemptions of Common Units from Pre-IPO owners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offering costs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borrowings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for long-term borrowings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lines of credit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lines of credit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debt issuance cost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towards Class B unit repurchases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and restricted cash</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 and restricted cash</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beginning of year</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year</w:t>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916305"/>
                <wp:effectExtent l="0" t="0" r="0" b="0"/>
                <wp:wrapNone/>
                <wp:docPr id="90" name="Frame89"/>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3419" w:type="dxa"/>
                              <w:jc w:val="left"/>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3419" w:type="dxa"/>
                        <w:jc w:val="left"/>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75"/>
        <w:gridCol w:w="1647"/>
        <w:gridCol w:w="1660"/>
        <w:gridCol w:w="386"/>
        <w:gridCol w:w="832"/>
        <w:gridCol w:w="218"/>
        <w:gridCol w:w="109"/>
        <w:gridCol w:w="109"/>
        <w:gridCol w:w="109"/>
        <w:gridCol w:w="327"/>
        <w:gridCol w:w="931"/>
        <w:gridCol w:w="182"/>
        <w:gridCol w:w="109"/>
        <w:gridCol w:w="109"/>
        <w:gridCol w:w="109"/>
        <w:gridCol w:w="321"/>
        <w:gridCol w:w="912"/>
        <w:gridCol w:w="260"/>
      </w:tblGrid>
      <w:tr>
        <w:trPr/>
        <w:tc>
          <w:tcPr>
            <w:tcW w:w="187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5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interest on borrowings</w:t>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interest rate hedging activities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income taxes, net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operating leases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operating lease assets obtained in exchange for lease obligations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purchases of property, plant and equipment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tax receivable agreement liability</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deferred tax assets from equity transactions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capital contribution</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03"/>
        <w:gridCol w:w="593"/>
        <w:gridCol w:w="593"/>
        <w:gridCol w:w="796"/>
        <w:gridCol w:w="2260"/>
        <w:gridCol w:w="443"/>
        <w:gridCol w:w="443"/>
        <w:gridCol w:w="443"/>
        <w:gridCol w:w="443"/>
        <w:gridCol w:w="847"/>
        <w:gridCol w:w="1711"/>
        <w:gridCol w:w="630"/>
      </w:tblGrid>
      <w:tr>
        <w:trPr/>
        <w:tc>
          <w:tcPr>
            <w:tcW w:w="10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reconciliation of cash, cash equivalents and restricted cash shown above to the amounts reported within the Consolidated Balance Sheets as of December 31, 2025 and 2024:</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3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4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6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916305"/>
                <wp:effectExtent l="0" t="0" r="0" b="0"/>
                <wp:wrapNone/>
                <wp:docPr id="91" name="Frame90"/>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3419" w:type="dxa"/>
                              <w:jc w:val="left"/>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3419" w:type="dxa"/>
                        <w:jc w:val="left"/>
                        <w:tblInd w:w="0" w:type="dxa"/>
                        <w:tblLayout w:type="fixed"/>
                        <w:tblCellMar>
                          <w:top w:w="28" w:type="dxa"/>
                          <w:left w:w="28" w:type="dxa"/>
                          <w:bottom w:w="28" w:type="dxa"/>
                          <w:right w:w="28" w:type="dxa"/>
                        </w:tblCellMar>
                      </w:tblPr>
                      <w:tblGrid>
                        <w:gridCol w:w="1093"/>
                        <w:gridCol w:w="963"/>
                        <w:gridCol w:w="1363"/>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Nature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Inc., a Delaware corporation formed on November 6, 2024, is a holding company, and its material assets are its equity interests held directly or indirectly through wholly owned subsidiaries in Medline Holdings, LP (“Medline Holdings”), and its subsidiaries (together, the “Company” or “Medline”). The Company is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Initial Public Offering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December 16, 2025, the Securities and Exchange Commission declared effective the Company’s Registration Statement on Form S-1 filed in connection with its initial public offering (the “IPO”). The Company’s Class A common stock started trading on </w:t>
      </w:r>
      <w:r>
        <w:rPr>
          <w:rFonts w:ascii="Times New Roman;serif" w:hAnsi="Times New Roman;serif"/>
          <w:b w:val="false"/>
          <w:color w:val="181717"/>
          <w:sz w:val="20"/>
        </w:rPr>
        <w:t>The Nasdaq Global Select Market</w:t>
      </w:r>
      <w:r>
        <w:rPr>
          <w:color w:val="000000"/>
        </w:rPr>
        <w:t xml:space="preserve"> </w:t>
      </w:r>
      <w:r>
        <w:rPr>
          <w:rFonts w:ascii="Times New Roman;serif" w:hAnsi="Times New Roman;serif"/>
          <w:b w:val="false"/>
          <w:color w:val="000000"/>
          <w:sz w:val="20"/>
        </w:rPr>
        <w:t xml:space="preserve">on December 17, 2025. </w:t>
      </w:r>
      <w:r>
        <w:rPr>
          <w:rFonts w:ascii="Times New Roman;serif" w:hAnsi="Times New Roman;serif"/>
          <w:b w:val="false"/>
          <w:color w:val="000000"/>
          <w:sz w:val="20"/>
          <w:shd w:fill="FFFFFF" w:val="clear"/>
        </w:rPr>
        <w:t xml:space="preserve">On December 18, 2025, the Company completed the IPO of its Class A common stock in which the Company issued and sold </w:t>
      </w:r>
      <w:r>
        <w:rPr>
          <w:rFonts w:ascii="Times New Roman;serif" w:hAnsi="Times New Roman;serif"/>
          <w:b w:val="false"/>
          <w:color w:val="000000"/>
          <w:sz w:val="20"/>
        </w:rPr>
        <w:t>248,439,654</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(including shares issued pursuant to the exercise in full of the underwriters’ option to purchase additional shares) for cash consideration of </w:t>
      </w:r>
      <w:r>
        <w:rPr>
          <w:rFonts w:ascii="Times New Roman;serif" w:hAnsi="Times New Roman;serif"/>
          <w:b w:val="false"/>
          <w:color w:val="000000"/>
          <w:sz w:val="20"/>
        </w:rPr>
        <w:t>$29.00</w:t>
      </w:r>
      <w:r>
        <w:rPr>
          <w:color w:val="000000"/>
          <w:shd w:fill="FFFFFF" w:val="clear"/>
        </w:rPr>
        <w:t xml:space="preserve"> </w:t>
      </w:r>
      <w:r>
        <w:rPr>
          <w:rFonts w:ascii="Times New Roman;serif" w:hAnsi="Times New Roman;serif"/>
          <w:b w:val="false"/>
          <w:color w:val="000000"/>
          <w:sz w:val="20"/>
          <w:shd w:fill="FFFFFF" w:val="clear"/>
        </w:rPr>
        <w:t xml:space="preserve">per share. </w:t>
      </w:r>
      <w:r>
        <w:rPr>
          <w:rFonts w:ascii="Times New Roman;serif" w:hAnsi="Times New Roman;serif"/>
          <w:b w:val="false"/>
          <w:color w:val="000000"/>
          <w:sz w:val="20"/>
        </w:rPr>
        <w:t>The IPO generated net proceeds of approximately $7,048 million after deducting underwriting discounts and commissions of approximately $157 million, but before deducting offering expenses of approximately $40 million. The Company</w:t>
      </w:r>
      <w:r>
        <w:rPr>
          <w:color w:val="000000"/>
          <w:shd w:fill="FFFFFF" w:val="clear"/>
        </w:rPr>
        <w:t xml:space="preserve"> </w:t>
      </w:r>
      <w:r>
        <w:rPr>
          <w:rFonts w:ascii="Times New Roman;serif" w:hAnsi="Times New Roman;serif"/>
          <w:b w:val="false"/>
          <w:color w:val="000000"/>
          <w:sz w:val="20"/>
          <w:shd w:fill="FFFFFF" w:val="clear"/>
        </w:rPr>
        <w:t xml:space="preserve">used the proceeds (net of underwriting discounts and commissions) from the issuance of </w:t>
      </w:r>
      <w:r>
        <w:rPr>
          <w:rFonts w:ascii="Times New Roman;serif" w:hAnsi="Times New Roman;serif"/>
          <w:b w:val="false"/>
          <w:color w:val="000000"/>
          <w:sz w:val="20"/>
        </w:rPr>
        <w:t>179,000,000</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$5,078</w:t>
      </w:r>
      <w:r>
        <w:rPr>
          <w:color w:val="000000"/>
          <w:shd w:fill="FFFFFF" w:val="clear"/>
        </w:rPr>
        <w:t xml:space="preserve"> </w:t>
      </w:r>
      <w:r>
        <w:rPr>
          <w:rFonts w:ascii="Times New Roman;serif" w:hAnsi="Times New Roman;serif"/>
          <w:b w:val="false"/>
          <w:color w:val="000000"/>
          <w:sz w:val="20"/>
          <w:shd w:fill="FFFFFF" w:val="clear"/>
        </w:rPr>
        <w:t xml:space="preserve">million) in the IPO to purchase an equivalent number of newly issued Common Units from Medline Holdings, which Medline Holdings has in turn used </w:t>
      </w:r>
      <w:r>
        <w:rPr>
          <w:rFonts w:ascii="Times New Roman;serif" w:hAnsi="Times New Roman;serif"/>
          <w:b w:val="false"/>
          <w:color w:val="000000"/>
          <w:sz w:val="20"/>
        </w:rPr>
        <w:t>$731</w:t>
      </w:r>
      <w:r>
        <w:rPr>
          <w:color w:val="000000"/>
          <w:shd w:fill="FFFFFF" w:val="clear"/>
        </w:rPr>
        <w:t xml:space="preserve"> </w:t>
      </w:r>
      <w:r>
        <w:rPr>
          <w:rFonts w:ascii="Times New Roman;serif" w:hAnsi="Times New Roman;serif"/>
          <w:b w:val="false"/>
          <w:color w:val="000000"/>
          <w:sz w:val="20"/>
          <w:shd w:fill="FFFFFF" w:val="clear"/>
        </w:rPr>
        <w:t xml:space="preserve">million of which to repay in full all outstanding Euro Term Loans (as defined herein) and </w:t>
      </w:r>
      <w:r>
        <w:rPr>
          <w:rFonts w:ascii="Times New Roman;serif" w:hAnsi="Times New Roman;serif"/>
          <w:b w:val="false"/>
          <w:color w:val="000000"/>
          <w:sz w:val="20"/>
        </w:rPr>
        <w:t>$3,292</w:t>
      </w:r>
      <w:r>
        <w:rPr>
          <w:color w:val="000000"/>
          <w:shd w:fill="FFFFFF" w:val="clear"/>
        </w:rPr>
        <w:t xml:space="preserve"> </w:t>
      </w:r>
      <w:r>
        <w:rPr>
          <w:rFonts w:ascii="Times New Roman;serif" w:hAnsi="Times New Roman;serif"/>
          <w:b w:val="false"/>
          <w:color w:val="000000"/>
          <w:sz w:val="20"/>
          <w:shd w:fill="FFFFFF" w:val="clear"/>
        </w:rPr>
        <w:t xml:space="preserve">million of which to repay a portion of the outstanding USD Term Loans (as defined herein) which matures in 2028. The Company will use the remaining net proceed for general corporate purposes and to bear all of the expenses of the IPO. The Company has used the proceeds (net of underwriting discounts and commissions) from the issuance of </w:t>
      </w:r>
      <w:r>
        <w:rPr>
          <w:rFonts w:ascii="Times New Roman;serif" w:hAnsi="Times New Roman;serif"/>
          <w:b w:val="false"/>
          <w:color w:val="000000"/>
          <w:sz w:val="20"/>
        </w:rPr>
        <w:t>37,034,482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$1,051</w:t>
      </w:r>
      <w:r>
        <w:rPr>
          <w:color w:val="000000"/>
          <w:shd w:fill="FFFFFF" w:val="clear"/>
        </w:rPr>
        <w:t xml:space="preserve"> </w:t>
      </w:r>
      <w:r>
        <w:rPr>
          <w:rFonts w:ascii="Times New Roman;serif" w:hAnsi="Times New Roman;serif"/>
          <w:b w:val="false"/>
          <w:color w:val="000000"/>
          <w:sz w:val="20"/>
          <w:shd w:fill="FFFFFF" w:val="clear"/>
        </w:rPr>
        <w:t xml:space="preserve">million) and the issuance of </w:t>
      </w:r>
      <w:r>
        <w:rPr>
          <w:rFonts w:ascii="Times New Roman;serif" w:hAnsi="Times New Roman;serif"/>
          <w:b w:val="false"/>
          <w:color w:val="000000"/>
          <w:sz w:val="20"/>
        </w:rPr>
        <w:t>32,405,172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$919</w:t>
      </w:r>
      <w:r>
        <w:rPr>
          <w:color w:val="000000"/>
          <w:shd w:fill="FFFFFF" w:val="clear"/>
        </w:rPr>
        <w:t xml:space="preserve"> </w:t>
      </w:r>
      <w:r>
        <w:rPr>
          <w:rFonts w:ascii="Times New Roman;serif" w:hAnsi="Times New Roman;serif"/>
          <w:b w:val="false"/>
          <w:color w:val="000000"/>
          <w:sz w:val="20"/>
          <w:shd w:fill="FFFFFF" w:val="clear"/>
        </w:rPr>
        <w:t>million) pursuant to the exercise in full by the underwriters of their option to purchase additional shares in the IPO to purchase or redeem an equivalent aggregate number of shares of Class A common stock and Common Units from certain pre-IPO owners.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Reorganization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16, 2025, prior to the completion of the IPO, the Company executed several reorganization transactions (the “Reorganization”) and amended and restated Limited Partnership Agreement of Medline Holdings (the “LP Agreement”), resulting in the following:</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Medline Inc. became the general partner of Medline Holdings with 100% of the voting power and control of Medline Holdings.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All outstanding Class A units and Class B catch-up profits interests units (“CUPIs”) of Medline Holdings were either (1) reclassified into Common Units, a new class of partnership interest of Medline Holdings, or (2) directly or indirectly exchanged for vested shares of Class A common stock and restricted stock units (“RSUs”) of Medline Inc. The holders of Common Units were also allocated shares of Class B common stock of Medline Inc. on a one-for-one basis with the number of their Common Units.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All outstanding Class B units of Medline Holdings were either (1) reclassified into Incentive Units, a new class of partnership interest of Medline Holdings, or (2) directly or indirectly exchanged for vested shares of Class A common stock of Medline Inc., in the case of vested Class B units, and restricted stock awards (“RSAs”), RSUs, and options of Medline Inc., in the case of unvested Class B units.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Holders of Incentive Units (“Incentive Unitholders”) have the right to exchange their vested Incentive Units for Common Units at the exchange rate defined by the amended LP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95250"/>
                <wp:effectExtent l="0" t="0" r="0" b="0"/>
                <wp:wrapNone/>
                <wp:docPr id="92" name="Frame9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90</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Recognition of noncontrolling interests due to the pre-IPO owners retaining an economic interest in Medline Holdings related to Common Units and Incentive Units.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Reorganization, Medline Inc.’s sole material asset is a controlling equity interest in Medline Holdings. As the general partner of Medline Holdings, Medline Inc. now operates and controls all of the business and affairs of Medline Holdings, and has the obligation to absorb losses and receive benefits from Medline Holdings and, through Medline Holdings and its subsidiaries, operate the business. The Reorganization have been accounted for as a reorganization of entities under common control. As a result, the consolidated financial statements of Medline Inc. recognize the assets and liabilities received in the Reorganization at their historical carrying amounts, as presented in the historical financial statements of Medline Holdings. Medline Inc. consolidates Medline Holdings on its consolidated financial statements and records a noncontrolling interest.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consolidated financial statements and accompanying notes are prepared in accordance with United States generally accepted accounting principles (“GAAP”). The results of businesses acquired or disposed of are included in the consolidated financial statements from the date of the acquisition or up to the date of disposal, respectively. All adjustments, in the opinion of management, necessary to a fair statement of the results for the annual periods presented have been made.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financial statements of the Company, all entities that are wholly-owned by the Company and all entities in which the Company has a controlling financial interest. All intercompany transactions and balances have been eliminated. A noncontrolling interest in a consolidated subsidiary represents the portion of the equity (net assets) in a subsidiary not attributable, directly or indirectly, to the Company. Noncontrolling interests are presented as a separate component of equity in the Consolidated Balance Sheets and the presentation of net income (loss) is modified to present earnings and other comprehensive income (loss) attributed to controlling and noncontrolling interests.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reclassified certain prior period amounts in the Consolidated Balance Sheets and Consolidated Statements of Cash Flows to conform to the current year’s presentation. The changes relate to the inclusion of an immaterial financial statement line item within another line item for presentation purposes. The change did not have an impact on the Company’s financial condition, operating results,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Fiscal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fiscal year begins on January 1 and ends on December 31. The fiscal quarters are based on a four-four-five-week calendar with periods ending on the Saturday of the last week in the quarter, with the exception of December 31, which is always the fiscal year end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include, but are not limited to, allowance for credit losses, inventory valuation reserves, fair value of financial instruments, impairment of long-lived assets and goodwill, tax receivable agreement, deferred tax valuations, depreciation and amortization, actuarial assumptions, and fair value allocations related to business combinations. Actual results could differ from those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95250"/>
                <wp:effectExtent l="0" t="0" r="0" b="0"/>
                <wp:wrapNone/>
                <wp:docPr id="93" name="Frame9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91</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financial instruments with an original maturity of 90 days or less to be cash equivalents. Due to the short-term nature of these instruments, the carrying values approximate the fair market value. The Company presents its cash and cash equivalents under the liability extinguishment approach and, as a result, classifies its book overdrafts independent of deposit accounts as current liabilities. Of the cash held on deposit, essentially all of the cash balances were in excess of amounts insured by the Federal Deposit Insurance Corporation or other foreign provided bank insurance. The Company performs periodic evaluations of these institutions for relative credit standing and has not experienced any losses as a result of its cash concentration. Restricted cash represents cash balances restricted as to withdrawal or use and are included in Other current assets on the Consolidated Balance Sheets. As of December 31, 2025, restricted cash was not material. As of December 31, 2024, restricted cash includes $47 million held in an escrow account related to settlement for ethylene oxide sterilization (“EtO”) litigation. See Note 13—Commitments and Contingencies for additional information on EtO related claims and litigation.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Cost is determined primarily by the last-in, first-out (“LIFO”) method. The LIFO method presumes that the most recent inventory purchases are the first items sold and the inventory cost under LIFO approximates market.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The Company recognized increases in the LIFO reserve of $83 million, $53 million, and $61 million in the years ended December 31, 2025, 2024 and 2023, respectively, all within Cost of goods sold in the Consolidated Statements of Comprehensive Income. For certain foreign subsidiaries, cost is determined using the first-in, first-out (“FIFO”) method. The LIFO method was used to value approximately 89% of the Company’s inventories for both December 31, 2025 and 2024. Estimated provisions are established for slow-moving and obsolete inventory based on historical and forecasted sales trends. Rebates received from vendors relating to the purchase or distribution of inventory are considered product discounts and are accounted for as a reduction in the cost of inventory and are recognized when the inventory is sold.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Accounts Receivable, Net of Allowance for Credit Losses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are carried at amortized cost less an allowance for credit losses. Credit losses are determined utilizing a forward-looking model and are recognized in accordance with Accounting Standard Codification (“ASC”) 326 Financial Instruments -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The Company charges interest on overdue receivables and evaluates the collection of this interest. Net interest on overdue receivables was not material as of December 31, 2025, 2024 and 2023. Accounts receivable are written off when deemed uncollectible. Recoveries of accounts receivable previously written off are recorded when received. The Company does not reduce customer rebates from accounts receivable as right of set-off does not exist, and therefore, they are classified separately under Accrued expenses and Other Current Liabilities. See Note 6—Accrued Expenses and Other Current Liabilities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diversifies the concentration of its cash by maintaining deposits with a number of major banks and investing in money market funds. The Company has a primary customer base within the healthcare industry, which is subject to volatility. Generally, the Company does not require collateral from its customers. The Company performs regular credit evaluations of the Company’s customers’ financial conditions and maintains reserves for expected losses through the established 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95250"/>
                <wp:effectExtent l="0" t="0" r="0" b="0"/>
                <wp:wrapNone/>
                <wp:docPr id="94" name="Frame9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92</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are charged to earnings as incurred. Research and development costs for the years ended December 31, 2025, 2024 and 2023 were $80 million, $67 million and $60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are stated at cost less accumulated depreciation and amortization, using straight-line method over estimated useful lives. Fully depreciated assets remain on the books until disposal, at which point, the costs and accumulated depreciation are removed, and any resulting gain or loss is recognized in net income. Maintenance and repairs are expensed as incurred, while significant renewals are capitalized. Leasehold improvements are amortized over the shorter of their useful life or lease term. </w:t>
      </w:r>
    </w:p>
    <w:tbl>
      <w:tblPr>
        <w:tblW w:w="6296" w:type="dxa"/>
        <w:jc w:val="left"/>
        <w:tblInd w:w="0" w:type="dxa"/>
        <w:tblLayout w:type="fixed"/>
        <w:tblCellMar>
          <w:top w:w="28" w:type="dxa"/>
          <w:left w:w="28" w:type="dxa"/>
          <w:bottom w:w="28" w:type="dxa"/>
          <w:right w:w="28" w:type="dxa"/>
        </w:tblCellMar>
      </w:tblPr>
      <w:tblGrid>
        <w:gridCol w:w="1031"/>
        <w:gridCol w:w="904"/>
        <w:gridCol w:w="914"/>
        <w:gridCol w:w="109"/>
        <w:gridCol w:w="109"/>
        <w:gridCol w:w="109"/>
        <w:gridCol w:w="912"/>
        <w:gridCol w:w="912"/>
        <w:gridCol w:w="1296"/>
      </w:tblGrid>
      <w:tr>
        <w:trPr/>
        <w:tc>
          <w:tcPr>
            <w:tcW w:w="103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2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Improvements -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15-40 years</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Improvements - 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18"/>
              </w:rPr>
            </w:pPr>
            <w:r>
              <w:rPr>
                <w:rFonts w:ascii="Times New Roman;serif" w:hAnsi="Times New Roman;serif"/>
                <w:b w:val="false"/>
                <w:i/>
                <w:color w:val="000000"/>
                <w:sz w:val="18"/>
              </w:rPr>
              <w:t>Shorter of 10 years/Remaining lease term</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years</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3-20 years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years</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years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 and Trucks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5-7 years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reviews long-lived assets, including property, plant, and equipment, definite-lived intangible assets and right-of-use assets, for impairment whenever events or changes in business circumstances indicate that the carrying amount of an asset or asset group may not be fully recoverable. An impairment loss would be recognized when the estimated undiscounted future cash flow from use of the asset and its eventual disposition is less than the carrying amount of that asset. The amount of the impairment loss recorded is calculated by the excess of the asset’s carrying value over its fair value. Fair value is generally determined using a discounted cash flow analysis if market value is not readily available or attainable. No material impairment was recorded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fair value of the identifiable assets acquired and liabilities assumed for a business combination.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performs its annual goodwill impairment test in October and monitors for interim indicators of impairment on an ongoing basis. Goodwill is tested for impairment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quantitative goodwill impairment test compares the estimated fair value of each reporting unit to its carrying value. If the carrying value of a reporting unit exceeds its estimated fair value, an impairment charge is recognized in an amount equal to that excess, limited to the total goodwill allocated to that reporting unit. If the estimated fair value of a reporting unit exceeds the carrying value, goodwill is not impaired. See Note 5—Goodwill and Intangible Assets for additional information about the Company’s impairment assessment.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95250"/>
                <wp:effectExtent l="0" t="0" r="0" b="0"/>
                <wp:wrapNone/>
                <wp:docPr id="95" name="Frame9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93</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Intangible assets are initially measured at fair value and consist of trade names, customer relationships and developed technology from acquisitions by the Company. The definite-lived intangible assets are amortized using the straight-line method over their estimated useful lives, which ranges from 2 - 21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performs its annual indefinite-lived assets impairment test in October and monitors for interim indicators of impairment on an ongoing basis. The impairment test for indefinite-lived intangibles involves first assessing qualitative factors to determine if it is more likely than not that the fair value of the indefinite-lived intangible asset is less than its carrying amount. To perform the qualitative review, the Company uses estimates and significant judgments and considers the weight of evidence and significance of all identified events and circumstances and most relevant drivers of fair value in determining whether it is more likely than not that the fair value of the indefinite-lived intangible asset is less than its carrying amount. If management concludes that it is more likely than not that the fair value is less than its carrying amount, the Company conducts a quantitative impairment test; otherwise, no further analysis is required.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quantitative test compares the estimated fair value of the indefinite-lived intangible asset to the respective asset’s carrying amount. If the carrying value of the indefinite-lived intangible exceeds its estimated fair value, an impairment charge is recognized in an amount equal to that excess. If the estimated fair value of the indefinite-lived intangible exceeds the carrying value, the asset is not impaired. See Note 5—Goodwill and Intangible Assets for additional information about the Company’s impairment assessment.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operating leases primarily for corporate offices, manufacturing and distribution facilities, vehicles and equipment. The Company determines if an arrangement is a lease at inception by evaluating whether the arrangement conveys the right to use an identifiable asset and whether the Company obtains substantially all of the economic benefits from and has the ability to direct the use of the asset. The Company’s lease agreements generally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and corresponding operating lease liabilities are recognized in the Company’s Consolidated Balance Sheets at lease commencement date based on the present value of lease payments over the lease term. Operating lease expense for operating lease assets is recognized on a straight-line basis over the lease term. Some lease arrangements include payments that are adjusted periodically based on actual charges incurred for common area maintenance, utilities, taxes and insurance, or changes in an index or rate referenced in the lease. The fixed portion of these payments is included in the measurement of right-of-use assets and lease liabilities at lease commencement, while the variable portion is recorded as variable lease expense. As most of the leases do not provide an implicit rate, the Company uses incremental borrowing rate based on the information available at the lease commencement date in determining the present value of lease payments. The Company’s lease agreements contain lease components and non-lease components. The Company elected the practical expedient to combine lease and non-lease components into one single lease component for all asset classes other than certain arrangements with embedded lease assets. For embedded lease assets, the Company accounts for the lease components and non-lease components separately. The Company, from time to time, subleases certain portions of real estate property, resulting in sublease income. The Company does not recognize lease liabilities or right-of-use assets for short-term leases with a term of less than 12 months.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leases have remaining lease terms ranging from less than 12 months to approximately 14 years. The lease terms may include options to extend or terminate the lease when it is reasonably certain and there is a significant economic incentive to exercise that option.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95250"/>
                <wp:effectExtent l="0" t="0" r="0" b="0"/>
                <wp:wrapNone/>
                <wp:docPr id="96" name="Frame9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94</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lessor, the Company enters into operating leases primarily for corporate offices and distribution facilities. The contracts generally do not contain options to purchase the underlying assets. Other contractual terms, including options to shorten or extend the lease term, vary by contract. The contracts generally also include non-lease components such as utilities, maintenance, and other services, for which payments are variable and immaterial to the Company. For all asset classes, the Company elected the practical expedient to account for the lease and non-lease components as a single lease component under ASC 842, “Leases”. See Note 9—Leases for additional information on the Company’s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revenues are generated principally from the sale of products. The majority of the sales transactions are supported by an underlying agreement or a formal purchase order. Revenue is recognized as performance obligations under the terms of the contract are satisfied, which generally occurs with the transfer of control. The Company transfers control and recognizes revenue when product is shipped to customers or when product arrives at destination, depending on the shipping term; customers have legal title to the product; and the Company has a right to payment for such product. Significant judgment is generally not required to determine the timing of satisfying the performance obligation. Revenue is measured as the amount of consideration the Company expects to receive in exchange for those products. Shipping and handling costs include all delivery expenses as well as all costs to prepare the product for shipment to the customer, which are treated as fulfillment costs and primarily included in Selling, general and administrative expenses. Since the Company typically invoices customers when performance obligations are satisfied, the Company does not have material contract assets or contract liabilities. The Company’s credit terms typically range from net 30 to 60 days from the invoice date and do not contain significant financing components that extend beyond one year of fulfillment of performance obligations. Sales taxes collected from customers and remitted to governmental authorities are excluded from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generally warrants that its products will conform to pre-established specifications and that its products will be free from material defects for a limited time. The Company limits its warranty to the replacement of defective parts, or a refund or credit of the price of the defective product. The Company does not account for these warranties as separate performance obligations. Warranty claims are not material as a majority of the Company’s products are consumables.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products are generally sold at fixed prices, certain customers receive cash discounts, customer rebates, distributor chargebacks, return allowances, scrap allowances, and other rights, which are accounted for as variable consideration and may require significant judgment in determining the amounts by which to reduce revenue. Customer rebates typically represent the most significant component of variable consideration, with distributor chargebacks generally constituting the next largest category. The Company estimates these amounts at the point that revenue is recognized based on the expected value to be provided to the customer and reduces revenue accordingly. The amount of variable consideration recognized as revenue is limited to the amount for which it is probable that a significant reversal in revenue will not occur when the related uncertainty is resolved. The Company’s estimate of variable consideration and ultimate determination of the estimated amounts to include in the transaction price are based upon the contractual terms between the Company and its customers, products subject to a rebate, the lag between the sale and the payment of the rebate, and historical rebate payment trends.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20—Segment Information for disaggregation of net sales by product category, geography, and sales office as the Company believes that it best depicts how the nature, amount, timing and uncertainty of net sales and cash flows are affected by economic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components of cost of goods sold include the cost of the product (net of purchase discounts, supplier rebates), direct and certain indirect labor, overhead cost, including depreciation and freight incurred to transport inventories from a supplier location or in between Company locations. Costs related to purchasing, receiving, inspections, warehousing, and other costs of the Company’s distribution network are included in Selling, general and administrative expenses.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95250"/>
                <wp:effectExtent l="0" t="0" r="0" b="0"/>
                <wp:wrapNone/>
                <wp:docPr id="97" name="Frame9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95</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issues stock-based awards to employees that are generally in the form RSUs, restricted stock awards (“RSAs”), stock options, or incentive units. These awards are generally equity classified. Compensation cost for equity awards is measured at their grant-date fair value. The grant date fair value of RSUs and RSAs is based on the fair value of the Company’s underlying common stock. The grant date fair value of stock options is estimated using the Black-Scholes option pricing model, which requires management to make assumptions with respect to the fair value of the Company’s equity award on the grant date, including the expected term of the award, the expected volatility of the Company’s stock calculated based on a period of time generally commensurate with the expected term of the award, risk-free interest rates and expected dividend yields of the Company’s stock. Generally, RSUs, RSAs, incentive units, and stock options have graded vesting. For graded vesting awards with service only conditions, the Company recognizes expense using the straight-line attribution method over the requisite service period. Forfeitures are accounted for as they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stock-based compensation includes other stock-based awards, such as awards that include performance conditions and may be settled in restricted shares with time-based vesting. Awards with performance conditions are generally liability classified and remeasured at fair value through settlement. Upon settlement, these awards are reclassified as equity, and their fair value is finalized at the grant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17—Stock-based Compensation for a discussion of the Company’s stock-based compensation plans and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net income (loss) per share is computed by dividing net income (loss) attributable to the Company by the weighted average number of common stock outstanding during the period. Diluted net income (loss) per unit is computed by dividing net earnings or losses attributable to the Company by the weighted-average shares outstanding during the period after adjusting for the impact of securities that would have a dilutive effect on net income (loss) per share. The treasury stock method is applied to equity incentive plans, while the if-converted method is used for instruments with conversion features.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net income prior to the IPO was entirely allocable to partners of Medline Holdings. As a result of the Reorganization and IPO, the Company’s capital structure before and after IPO are not comparable, and the presentation of net income per share for the periods prior to the IPO is not meaningful and not presented herein. See Note 18—Net Income per Share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liability method in accordance with ASC 740, “Income Taxes”, and Deferred tax assets and liabilities are recognized for future tax consequences attributable to differences between the financial statement carrying value of existing assets and liabilities and their respective tax bases. Deferred tax assets and liabilities are measured using enacted tax rates in effect for the year in which those temporary differences are expected to be recovered or settled. A valuation allowance is provided if it is determined that it is more likely than not that the deferred tax asset will not be realized. The Company records any tax on Global Intangible Low-Taxed Income (“GILTI”) in the provision for income taxes in the year it is incurred.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unrecognized tax benefits in interest and income tax expense, respectively. The Company had no amounts accrued for interest or penalties related to unrecognized tax benefits as of December 31, 2025 and 2024. The Company does not expect the total amount of unrecognized tax benefits to substantially change in the next 12 months.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95250"/>
                <wp:effectExtent l="0" t="0" r="0" b="0"/>
                <wp:wrapNone/>
                <wp:docPr id="98" name="Frame9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96</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Tax Receivable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 entered into a tax receivable agreement (“TRA”) with certain pre-IPO owners that provides for the payment by Medline Inc. to such pre-IPO owners of 90% of certain tax benefits, if any, that Medline Inc. realizes, or is deemed to realize. The Company recognizes obligations arising under the TRA in accordance with ASC 450, “Contingencies”. Obligations under the TRA are accrued when it is probable that a liability has been incurred and its amount is estimable. Liabilities associated with the TRA are classified as either current or noncurrent based on the expected date of payment and are presented in the Consolidated Balance Sheets under the captions Accrued expenses and other current liabilities and Tax receivable agreement liability, respectively. The exchange of partnership interest will result in an increase in TRA liabilities with a corresponding adjustment to Additional paid-in capital. Subsequent remeasurement of the TRA liabilities is recognized in the Consolidated Statements of Comprehensive Income as a component of Other (expense) income, net. See Note 11—Tax Receivable Agreement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Loss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When a loss is considered probable and reasonably estimable, the Company records a liability in the amount of the best estimate for the ultimate loss.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The Company adjusts the recorded contingent liability from time to time based upon periodic assessment of the potential outcomes of the pending matters. See Note 13—Commitments and Contingencies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primarily consists of interest expense of the Company’s borrowings, net interest settlements of interest rate derivatives, amortization of deferred finance costs including original issue discounts on debt, reduced by interest income on bank deposits and liquid financial instruments, customer interest income and other interest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Defined Benefit Pension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appropriate actuarial methods and assumptions in accounting for its defined benefit pension plans. 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Pension expense on the defined benefit plans is based on management’s assumptions and consists of the actuarially computed costs of pension benefits in respect of the current year’s service, expected return on plan assets, interest on pension obligations, amortization of net gains or losses, and amortization of prior service costs or credits. In addition, the Company is required to recognize as a component of Other comprehensive income (loss), net of tax the actuarial gains or losses and the prior service costs or credits that arise during the year but are not immediately recognized as components of net periodic benefit costs. The amortization of net gains or losses is based on a straight-line amortization of net gains or losses.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defined benefit pension plans in conformity with sections of ASC 715, “Compensation - Retirement Benefits”. This guidance requires an employer to recognize the funded status of its defined benefit pension plans as a net asset or liability in its statement of financial position, with an offsetting amount in Accumulated other comprehensive income (loss), net of tax and to recognize changes in that funded status in the year in which changes occur through comprehensive (loss) income.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95250"/>
                <wp:effectExtent l="0" t="0" r="0" b="0"/>
                <wp:wrapNone/>
                <wp:docPr id="99" name="Frame9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97</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Translation of Financial Statements of Foreign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foreign subsidiaries typically use the local currency as their functional currency. The consolidated assets and liabilities of the foreign subsidiaries are translated at exchange rates in effect at the balance sheet date. Income statement activity with respect to the operations of these subsidiaries is converted at the average rate for the period. The effect of the foreign currency translation is recorded in Accumulated other comprehensive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Derivative financial instruments are used primarily to manage interest rate and foreign currency exchange exposures, and are recorded at fair value in the Company’s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interest rate derivatives such as interest rate swaps and caps to add stability to interest expense and to manage its exposure to interest rate movements. The Company designates certain of its interest rate derivatives as hedging instruments in cash flow. A derivative qualifies for hedge accounting if, at inception, it is expected to be highly effective in offsetting the underlying hedged cash flows and the Company formally designates and documents the hedging relationship in accordance with ASC 815, “Derivatives and Hedging”. For derivatives designated and qualified as cash flow hedges of interest rate risk, the gain or loss from the fair value change of the derivative is recorded in Accumulated other comprehensive income (loss) and subsequently reclassified into Interest expense, net in the same period(s) during which the hedged transaction affects earnings. Gains and losses on the derivative instruments representing hedge components excluded from the assessment of effectiveness are recognized over the life of the hedge on a systematic and rational basis through an amortization approach. The Company evaluates hedge effectiveness of the derivative instruments at inception and on an ongoing basis, and ineffective portions of the fair value change of the derivatives are recognized in earnings following the date when ineffectiveness was identified. Derivatives not designated as hedges are marked-to-market at the end of each reporting period with the fair value change included in earnings. See Note 15—Derivatives and Hedging Activities Risk Management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estimate fair value using a three-tiered hierarchy, which prioritizes the inputs used in measuring fair value. Level 1 provides the most reliable measure of fair value; whereas, Level 3 generally requires significant management judgment. The three levels are defined as follows.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Level 1: Quoted prices (unadjusted) for identical assets or liabilities in active markets that the Company has the ability to access as of the measurement date.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Level 3: Significant unobservable inputs that reflect the Company’s own assumptions about the assumptions that market participants would use in pricing an asset or liability.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many cases, a valuation technique used to measure fair value includes inputs from multiple levels of the fair value hierarchy. The lowest level of significant input determines the placement of the entire fair value measurement in the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 of financial instruments, including cash and cash equivalents, accounts receivable, notes receivable and accounts payable, approximates fair value due to the short maturities of these instruments.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95250"/>
                <wp:effectExtent l="0" t="0" r="0" b="0"/>
                <wp:wrapNone/>
                <wp:docPr id="100" name="Frame9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98</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Company has adopted this standard on a prospective basis in 2025. See Note 12—Income Taxes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ASU 2025-12 amends various areas of the ASC to (1) clarify, (2) correct errors, or (3) make minor improvements. The ASU intends to make the ASC easier to understand and apply in cases in which the original guidance may have been unclear. The ASU is effective for annual periods beginning after December 15, 2026, and interim periods within those annual periods. Early adoption is permitted. Entities may adopt the guidance using a prospective or retrospective approach. The Company expects adoption of this ASU would not have a material impact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(ASC 270): Narrow Scope Improvements. ASU 2025-11 clarifies existing interim disclosure requirements and the applicability of ASC 270 and does not expand or reduce interim disclosure requirements. The ASU also includes a disclosure principle that requires entities to disclose material events and changes occurring since the end of the most recent annual reporting period, which may be presented either on the face of the interim financial statements or in the accompanying notes. The ASU is effective for interim periods within annual periods beginning after December 15, 2027. Early adoption is permitted. Entities may adopt the guidance using a prospective or retrospective approach. The Company expects adoption of this ASU would not have a material impact on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(ASC 832): Accounting for Government Grants Received by Business Entities. ASU 2025-10 provides recognition, measurement, presentation, and disclosure requirements for government grants, including guidance for grants related to an asset and grants related to income. The amendments introduce two permitted approaches for asset-related grants: a deferred income approach or a cost accumulation approach. The amendments are effective for annual periods beginning after December 15, 2028, and interim periods within those annual periods. Early adoption is permitted. Entities may adopt the guidance using a prospective, retrospective, or modified transition approach. The Company is currently evaluating the impact of adopting this new standard on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2025-07, Derivatives and Hedging (ASC 815) and Revenue from Contracts with Customers (ASC 606): Derivatives Scope Refinements and Scope Clarification for Share-Based Noncash Consideration from a Customer in a Revenue Contract. ASU 2025-07 refines the scope of derivative accounting by excluding certain non-exchange-traded contracts with underlyings that are based on operations or activities specific to one of the parties to the contract. The scope exception does not apply to variables based on a market rate, market price, market index, the price, or performance of a financial asset or liability, contracts (or features) involving an issuer’s own equity or options on debt instruments. In addition, the amendments clarify that share-based noncash consideration received from a customer should be accounted for under the noncash consideration guidance in ASC 606. The amendments are effective for annual periods beginning after December 15, 2026, and interim periods within those annual periods. Early adoption is permitted. Entities may adopt the guidance either prospectively or on a modified retrospective basis. The Company expects adoption of this ASU would not have a material impact on the consolidated financial statements.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95250"/>
                <wp:effectExtent l="0" t="0" r="0" b="0"/>
                <wp:wrapNone/>
                <wp:docPr id="101" name="Frame10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99</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updates the guidance for internal-use software by eliminating references to development stages and clarifying the criteria for capitalization. Under the new guidance, capitalization begins when (1) management authorizes and commits to funding the project and (2) it is probable that the project will be completed, and the software will be used as intended. The amendments are effective for annual periods beginning after December 15, 2027, and interim periods within those annual periods. Early adoption is permitted. Entities may adopt the guidance using a prospective, retrospective, or modified transition approach. The Company expects adoption of this ASU would not have a material impact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(ASC 326): Measurement of Credit Losses for Accounts Receivable and Contract Assets. ASU 2025-05 introduces a practical expedient allowing entities to assume current economic conditions, as of the balance sheet date, remain unchanged when estimating expected credit losses for current trade receivables and contract assets. The standard is effective for fiscal years beginning after December 15, 2025 on a prospective basis, and including interim periods, with early adoption permitted. The Company expects adoption of this ASU would not have a material impact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The standard, later clarified by ASU No. 2025-01, requires public business entities to, among other things, 1) disclose disaggregated information about certain income statement line items into one or more of the natural expense categories such as purchases of inventory; employee compensation, depreciation, and intangible asset amortization, where such expenses are included; 2) present certain other expenses and gains or losses that must be disclosed under existing U.S. GAAP in tabular disclosure on an annual and, when applicable, interim basis; and 3) disclose the total amount of selling expenses and, in annual reporting periods, an entity’s definition of selling expenses. The standard is effective for fiscal years beginning after December 15, 2026, and interim periods within fiscal years beginning after December 15, 2027. Early adoption is permitted. Upon adoption, the amendments may be applied prospectively to reporting periods after the effective date or retrospectively to all periods presented in the financial statements. The Company is currently evaluating the impact that this guidance will have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Microtek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August 1, 2024, the Company acquired all of the outstanding shares of the global surgical solutions business of Ecolab (the “Microtek” business) pursuant to a share purchase agreement for $905 million cash consideration. The primary purpose of the business combination was to expand the Medline Brand business (defined in Note 20—Segment Information</w:t>
      </w:r>
      <w:r>
        <w:rPr>
          <w:rFonts w:ascii="Times New Roman;serif" w:hAnsi="Times New Roman;serif"/>
          <w:b/>
          <w:color w:val="000000"/>
          <w:sz w:val="20"/>
        </w:rPr>
        <w:t xml:space="preserve">) </w:t>
      </w:r>
      <w:r>
        <w:rPr>
          <w:rFonts w:ascii="Times New Roman;serif" w:hAnsi="Times New Roman;serif"/>
          <w:b w:val="false"/>
          <w:color w:val="000000"/>
          <w:sz w:val="20"/>
        </w:rPr>
        <w:t>by creating synergies based on Ecolab’s expertise in innovative sterile drape solutions for patients and operating room equipment, while also bolstering a capability for temperature management systems used in the operating room. This acquisition also creates an opportunity for the Company to add design and development capabilities to support original equipment manufacturer customers. With these new capabilities, the Company will be able to support cutting edge medical device companies to bring innovative solutions to healthcare customers. The Company will also use its existing platform to expand margins on acquired Microtek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acquisition met the requirements to be considered a business combination under ASC 805, “Business Combinations” (“ASC 805”) and was accounted for using the acquisition method of accounting. Results of operations of this acquired business are included in the Company’s consolidated financial statements beginning from the date of acquisition. The Microtek acquisition contributed $127 million of net sales and an immaterial amount of net income for the year ended December 31, 2024. The Company has allocated the purchase price to the tangible and identifiable intangible assets acquired and liabilities assumed based on their fair market values at the acquisition date as required under ASC 805.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95250"/>
                <wp:effectExtent l="0" t="0" r="0" b="0"/>
                <wp:wrapNone/>
                <wp:docPr id="102" name="Frame10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100</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ACQUISITIONS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recorded measurement period adjustments as a result of additional facts and circumstances that existed as of the acquisition date. Total net adjustments of $4 million were offset by an increase in goodwill acquired from $418 million to $422 million. The adjustments primarily relate to updated valuations of Trade accounts receivable, Inventories, Other long-term assets and Other long-term liabilities as well as a reclassification of $11 million from Other long-term liabilities to Accrued expenses and other current liabilities. In addition, an adjustment which decreased Trade accounts receivable also reduced the purchase price by $6 million. These adjustments did not have a material impact on the Consolidated Statements of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allocated the final purchase price to the assets acquired and the liabilities assumed based on their fair values as of August 1, 2024 as below:</w:t>
      </w:r>
    </w:p>
    <w:p>
      <w:pPr>
        <w:pStyle w:val="TextBody"/>
        <w:bidi w:val="0"/>
        <w:spacing w:before="0" w:after="0"/>
        <w:jc w:val="both"/>
        <w:rPr/>
      </w:pPr>
      <w:r>
        <w:rPr/>
      </w:r>
    </w:p>
    <w:tbl>
      <w:tblPr>
        <w:tblW w:w="4707" w:type="dxa"/>
        <w:jc w:val="left"/>
        <w:tblInd w:w="0" w:type="dxa"/>
        <w:tblLayout w:type="fixed"/>
        <w:tblCellMar>
          <w:top w:w="28" w:type="dxa"/>
          <w:left w:w="28" w:type="dxa"/>
          <w:bottom w:w="28" w:type="dxa"/>
          <w:right w:w="28" w:type="dxa"/>
        </w:tblCellMar>
      </w:tblPr>
      <w:tblGrid>
        <w:gridCol w:w="1206"/>
        <w:gridCol w:w="1059"/>
        <w:gridCol w:w="1064"/>
        <w:gridCol w:w="196"/>
        <w:gridCol w:w="421"/>
        <w:gridCol w:w="761"/>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identifiable net assets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Net assets acquired,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the net identifiable tangible and intangible assets was recorded as goodwill. $427 million of the goodwill is estimated to be tax deductible over the amortizable period. Goodwill is comprised of expected synergies related to the combined operations, trade name, and customer relationships acquired in the business combination.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date of acquisition, the fair values for trade name and developed technology were determined using the relief from royalty method and the fair value of customer relationships was determined using the distributor method. The Company considers the fair value of the intangible assets to be Level 3 measurements due to the significant estimates and assumptions used by management in establishing the fair value which includes discount rates, revenue growth and royalty rates. The identifiable intangible assets acquired subject to amortization have a weighted average useful life of 11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is a summary of the intangible assets acquired in the acquisition:</w:t>
      </w:r>
    </w:p>
    <w:p>
      <w:pPr>
        <w:pStyle w:val="TextBody"/>
        <w:bidi w:val="0"/>
        <w:spacing w:before="0" w:after="0"/>
        <w:jc w:val="both"/>
        <w:rPr/>
      </w:pPr>
      <w:r>
        <w:rPr/>
      </w:r>
    </w:p>
    <w:tbl>
      <w:tblPr>
        <w:tblW w:w="3766" w:type="dxa"/>
        <w:jc w:val="left"/>
        <w:tblInd w:w="0" w:type="dxa"/>
        <w:tblLayout w:type="fixed"/>
        <w:tblCellMar>
          <w:top w:w="28" w:type="dxa"/>
          <w:left w:w="28" w:type="dxa"/>
          <w:bottom w:w="28" w:type="dxa"/>
          <w:right w:w="28" w:type="dxa"/>
        </w:tblCellMar>
      </w:tblPr>
      <w:tblGrid>
        <w:gridCol w:w="657"/>
        <w:gridCol w:w="578"/>
        <w:gridCol w:w="579"/>
        <w:gridCol w:w="196"/>
        <w:gridCol w:w="421"/>
        <w:gridCol w:w="109"/>
        <w:gridCol w:w="109"/>
        <w:gridCol w:w="109"/>
        <w:gridCol w:w="109"/>
        <w:gridCol w:w="262"/>
        <w:gridCol w:w="262"/>
        <w:gridCol w:w="375"/>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Useful life</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Indefinite</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years</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years</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95250"/>
                <wp:effectExtent l="0" t="0" r="0" b="0"/>
                <wp:wrapNone/>
                <wp:docPr id="103" name="Frame10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101</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ACQUISITIONS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results were prepared using the acquisition method of accounting and were based on the historical financial information of the Company and Microtek. In order to reflect the occurrence of the acquisition of January 1, 2023 as required, the unaudited pro forma financial information includes adjustments to reflect the incremental amortization expense to be incurred based on the fair value of the intangible assets acquired, incremental cost of sales related to the fair value adjustments on acquisition-date inventory, and the reclassification of acquisition-related costs incurred during the years ended December 31, 2024 and 2023. The pro forma results below are not necessarily indicative of the results that would have been if this acquisition had occurred on the dates indicated, nor are the pro forma results indicative of results which may occur in the future. The proforma result does not reflect any realization of cost savings or synergies associated with the acquisition.</w:t>
      </w:r>
    </w:p>
    <w:p>
      <w:pPr>
        <w:pStyle w:val="TextBody"/>
        <w:bidi w:val="0"/>
        <w:spacing w:before="0" w:after="0"/>
        <w:jc w:val="both"/>
        <w:rPr/>
      </w:pPr>
      <w:r>
        <w:rPr/>
      </w:r>
    </w:p>
    <w:tbl>
      <w:tblPr>
        <w:tblW w:w="4579" w:type="dxa"/>
        <w:jc w:val="left"/>
        <w:tblInd w:w="0" w:type="dxa"/>
        <w:tblLayout w:type="fixed"/>
        <w:tblCellMar>
          <w:top w:w="28" w:type="dxa"/>
          <w:left w:w="28" w:type="dxa"/>
          <w:bottom w:w="28" w:type="dxa"/>
          <w:right w:w="28" w:type="dxa"/>
        </w:tblCellMar>
      </w:tblPr>
      <w:tblGrid>
        <w:gridCol w:w="358"/>
        <w:gridCol w:w="315"/>
        <w:gridCol w:w="316"/>
        <w:gridCol w:w="309"/>
        <w:gridCol w:w="1019"/>
        <w:gridCol w:w="172"/>
        <w:gridCol w:w="109"/>
        <w:gridCol w:w="109"/>
        <w:gridCol w:w="109"/>
        <w:gridCol w:w="109"/>
        <w:gridCol w:w="109"/>
        <w:gridCol w:w="304"/>
        <w:gridCol w:w="1002"/>
        <w:gridCol w:w="239"/>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1654" w:type="dxa"/>
            <w:gridSpan w:val="4"/>
            <w:tcBorders/>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25,689 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23,588 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 Company incurred $25 million of incremental cost of sales from the fair value step-ups on acquired Microtek inventory that was sold in 2024. The Company also incurred $11 million of additional amortization expense from the fair values of identifiable intangible assets acquired. The unaudited pro forma combined financial information includes adjustments to reflect incremental amortization expense based on the fair values of the identifiable intangible assets acquired and some immaterial nonrecurring transaction expenses directly attributable to the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Acquisition-related costs for Microtek were included in Selling, general and administrative expenses in the Company’s Consolidated Statements of Comprehensive Income as incurred during the years ended December 31, 2025 and 2024 were not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Sinclair Dental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February 1, 2024, the Company, through its indirect wholly-owned subsidiary Medline Canada, Corporation, acquired all the outstanding shares of Sinclair Dental Co. Ltd. (“Sinclair Dental”) pursuant to the terms of a share purchase agreement in exchange for $195 million cash consideration. The primary purpose of the acquisition was to expand Medline Supply Chain Solutions business (defined in Note 20—Segment Information)</w:t>
      </w:r>
      <w:r>
        <w:rPr>
          <w:color w:val="000000"/>
        </w:rPr>
        <w:t xml:space="preserve"> </w:t>
      </w:r>
      <w:r>
        <w:rPr>
          <w:rFonts w:ascii="Times New Roman;serif" w:hAnsi="Times New Roman;serif"/>
          <w:b w:val="false"/>
          <w:color w:val="000000"/>
          <w:sz w:val="20"/>
        </w:rPr>
        <w:t>by creating synergies based on Sinclair Dental’s expertise in dental equipment and supplies distribution and expand the Company’s product and service offerings. The Company will also use its existing platform to expand margins on acquired Sinclair Dental contracts. The acquisition met the requirements to be considered a business combination under ASC 805 and was accounted for using the acquisition method of accounting. Results of operations of this acquired business are included in the Company’s consolidated financial statements beginning from the date of acquisition. The Company has allocated the purchase price to the tangible and identifiable intangible assets acquired and liabilities assumed based on their fair market values at the acquisition date as required under ASC 805.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95250"/>
                <wp:effectExtent l="0" t="0" r="0" b="0"/>
                <wp:wrapNone/>
                <wp:docPr id="104" name="Frame10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102</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ACQUISITIONS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allocated the final purchase price to the assets acquired and the liabilities assumed based on their fair values as of February 1, 2024 as below:</w:t>
      </w:r>
    </w:p>
    <w:p>
      <w:pPr>
        <w:pStyle w:val="TextBody"/>
        <w:bidi w:val="0"/>
        <w:spacing w:before="0" w:after="0"/>
        <w:jc w:val="both"/>
        <w:rPr/>
      </w:pPr>
      <w:r>
        <w:rPr/>
      </w:r>
    </w:p>
    <w:tbl>
      <w:tblPr>
        <w:tblW w:w="4707" w:type="dxa"/>
        <w:jc w:val="left"/>
        <w:tblInd w:w="0" w:type="dxa"/>
        <w:tblLayout w:type="fixed"/>
        <w:tblCellMar>
          <w:top w:w="28" w:type="dxa"/>
          <w:left w:w="28" w:type="dxa"/>
          <w:bottom w:w="28" w:type="dxa"/>
          <w:right w:w="28" w:type="dxa"/>
        </w:tblCellMar>
      </w:tblPr>
      <w:tblGrid>
        <w:gridCol w:w="1206"/>
        <w:gridCol w:w="1059"/>
        <w:gridCol w:w="1064"/>
        <w:gridCol w:w="196"/>
        <w:gridCol w:w="421"/>
        <w:gridCol w:w="761"/>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identifiable net assets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Net assets acquired,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the net identifiable tangible and intangible assets was recorded as goodwill and is not deductible for tax purposes. Goodwill is comprised of expected synergies for the combined operations, trade name, and customer relationships acquired in the business combination.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date of acquisition, the fair value for trade name was determined using the relief from royalty method and the fair value of customer relationships was determined using the excess earnings method. The Company considers the fair value of the intangible assets to be Level 3 measurements due to the significant estimates and assumptions used by management in establishing the fair value which includes discount rates, revenue growth and royalty rates. The intangible assets acquired subject to amortization have a weighted average useful life of 13 years. Below is a summary of the intangible assets acquired in the acquisition:</w:t>
      </w:r>
    </w:p>
    <w:p>
      <w:pPr>
        <w:pStyle w:val="TextBody"/>
        <w:bidi w:val="0"/>
        <w:spacing w:before="0" w:after="0"/>
        <w:jc w:val="both"/>
        <w:rPr/>
      </w:pPr>
      <w:r>
        <w:rPr/>
      </w:r>
    </w:p>
    <w:tbl>
      <w:tblPr>
        <w:tblW w:w="3671" w:type="dxa"/>
        <w:jc w:val="left"/>
        <w:tblInd w:w="0" w:type="dxa"/>
        <w:tblLayout w:type="fixed"/>
        <w:tblCellMar>
          <w:top w:w="28" w:type="dxa"/>
          <w:left w:w="28" w:type="dxa"/>
          <w:bottom w:w="28" w:type="dxa"/>
          <w:right w:w="28" w:type="dxa"/>
        </w:tblCellMar>
      </w:tblPr>
      <w:tblGrid>
        <w:gridCol w:w="634"/>
        <w:gridCol w:w="558"/>
        <w:gridCol w:w="562"/>
        <w:gridCol w:w="212"/>
        <w:gridCol w:w="359"/>
        <w:gridCol w:w="120"/>
        <w:gridCol w:w="109"/>
        <w:gridCol w:w="109"/>
        <w:gridCol w:w="109"/>
        <w:gridCol w:w="262"/>
        <w:gridCol w:w="262"/>
        <w:gridCol w:w="375"/>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Useful life</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years</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years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Acquisition-related costs for Sinclair Dental were included in Selling, general and administrative expenses in the Company’s Consolidated Statements of Comprehensive Income as incurred during the year ended December 31, 2024 and were not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United Medco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4, 2024, the Company acquired 100% of the shares of United Medco, LLC. United Medco, LLC is a national wholesaler and distributor of over-the-counter drugs, personal care, and daily living products to the managed care marketplace. Total purchase consideration of $53 million consisted of $33 million cash consideration and a contingent liability at a fair value of $20 million at closing. United Medco, LLC brought growth to the Company’s health plans business by augmenting the Company’s best-in-class distribution capabilities and expanding the Company’s supplemental benefits offerings. The Company gained access to United Medco, LLC’s valued customer base and further grew in the managed care 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95250"/>
                <wp:effectExtent l="0" t="0" r="0" b="0"/>
                <wp:wrapNone/>
                <wp:docPr id="105" name="Frame10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103</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ACQUISITIONS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acquisition met the requirements to be considered a business combination under ASC 805 and was accounted for using the acquisition method of accounting. Results of operations of this acquired business are included in the Company’s consolidated financial statements beginning as of the date of acquisition. The Company has allocated the purchase price to the tangible and identifiable intangible assets acquired and liabilities assumed based on their fair market values at the acquisition date as required under ASC 805.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maximum payout amount under the contingent liability is $35 million. The actual payout amount is based on the defined metrics for fiscal year 2024 and 2025 and will be paid over two years. The Company recorded the contingent liability of $20 million on the acquisition date with $8 million as Other current liabilities and $12 million as Other long-term liabilities in the Company’s Consolidated Balance Sheets.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Other operating expenses in the Company’s Consolidated Statements of Comprehensive Income.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allocated the final purchase price to the assets acquired and the liabilities assumed based on their fair values as of January 4, 2024 as below:</w:t>
      </w:r>
    </w:p>
    <w:p>
      <w:pPr>
        <w:pStyle w:val="TextBody"/>
        <w:bidi w:val="0"/>
        <w:spacing w:before="0" w:after="0"/>
        <w:jc w:val="both"/>
        <w:rPr/>
      </w:pPr>
      <w:r>
        <w:rPr/>
      </w:r>
    </w:p>
    <w:tbl>
      <w:tblPr>
        <w:tblW w:w="4617" w:type="dxa"/>
        <w:jc w:val="left"/>
        <w:tblInd w:w="0" w:type="dxa"/>
        <w:tblLayout w:type="fixed"/>
        <w:tblCellMar>
          <w:top w:w="28" w:type="dxa"/>
          <w:left w:w="28" w:type="dxa"/>
          <w:bottom w:w="28" w:type="dxa"/>
          <w:right w:w="28" w:type="dxa"/>
        </w:tblCellMar>
      </w:tblPr>
      <w:tblGrid>
        <w:gridCol w:w="1206"/>
        <w:gridCol w:w="1060"/>
        <w:gridCol w:w="1063"/>
        <w:gridCol w:w="196"/>
        <w:gridCol w:w="331"/>
        <w:gridCol w:w="761"/>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identifiable net assets</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Net assets acquired,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the net identifiable tangible and intangible assets was recorded as goodwill and is fully deductible for tax purposes. Goodwill is comprised of expected synergies for the combined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date of acquisition, the fair value for trade name was determined using the relief from royalty method and the fair value of customer relationships was determined using the excess earnings method. The Company considers the fair value of the intangible assets to be Level 3 measurements due to the significant estimates and assumptions used by management in establishing the fair value which includes discount rates, revenue growth and royalty rates. The intangible assets acquired subject to amortization have a weighted average useful life of 10 years. Below is a summary of the intangible assets acquired in the acquisition:</w:t>
      </w:r>
    </w:p>
    <w:p>
      <w:pPr>
        <w:pStyle w:val="TextBody"/>
        <w:bidi w:val="0"/>
        <w:spacing w:before="0" w:after="0"/>
        <w:jc w:val="both"/>
        <w:rPr/>
      </w:pPr>
      <w:r>
        <w:rPr/>
      </w:r>
    </w:p>
    <w:tbl>
      <w:tblPr>
        <w:tblW w:w="3671" w:type="dxa"/>
        <w:jc w:val="left"/>
        <w:tblInd w:w="0" w:type="dxa"/>
        <w:tblLayout w:type="fixed"/>
        <w:tblCellMar>
          <w:top w:w="28" w:type="dxa"/>
          <w:left w:w="28" w:type="dxa"/>
          <w:bottom w:w="28" w:type="dxa"/>
          <w:right w:w="28" w:type="dxa"/>
        </w:tblCellMar>
      </w:tblPr>
      <w:tblGrid>
        <w:gridCol w:w="634"/>
        <w:gridCol w:w="558"/>
        <w:gridCol w:w="562"/>
        <w:gridCol w:w="212"/>
        <w:gridCol w:w="359"/>
        <w:gridCol w:w="120"/>
        <w:gridCol w:w="109"/>
        <w:gridCol w:w="109"/>
        <w:gridCol w:w="109"/>
        <w:gridCol w:w="262"/>
        <w:gridCol w:w="262"/>
        <w:gridCol w:w="375"/>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Useful life</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years</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11 years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Acquisition-related costs for United Medco were included in Selling, general and administrative expenses in the Company’s Consolidated Statements of Comprehensive Income as incurred during the year ended December 31, 2024 and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95250"/>
                <wp:effectExtent l="0" t="0" r="0" b="0"/>
                <wp:wrapNone/>
                <wp:docPr id="106" name="Frame10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104</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3 - INVENTORIES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as of:</w:t>
      </w:r>
    </w:p>
    <w:p>
      <w:pPr>
        <w:pStyle w:val="TextBody"/>
        <w:bidi w:val="0"/>
        <w:spacing w:before="0" w:after="0"/>
        <w:jc w:val="both"/>
        <w:rPr/>
      </w:pPr>
      <w:r>
        <w:rPr/>
      </w:r>
    </w:p>
    <w:tbl>
      <w:tblPr>
        <w:tblW w:w="6281" w:type="dxa"/>
        <w:jc w:val="left"/>
        <w:tblInd w:w="0" w:type="dxa"/>
        <w:tblLayout w:type="fixed"/>
        <w:tblCellMar>
          <w:top w:w="28" w:type="dxa"/>
          <w:left w:w="28" w:type="dxa"/>
          <w:bottom w:w="28" w:type="dxa"/>
          <w:right w:w="28" w:type="dxa"/>
        </w:tblCellMar>
      </w:tblPr>
      <w:tblGrid>
        <w:gridCol w:w="1053"/>
        <w:gridCol w:w="927"/>
        <w:gridCol w:w="930"/>
        <w:gridCol w:w="341"/>
        <w:gridCol w:w="969"/>
        <w:gridCol w:w="190"/>
        <w:gridCol w:w="109"/>
        <w:gridCol w:w="109"/>
        <w:gridCol w:w="109"/>
        <w:gridCol w:w="334"/>
        <w:gridCol w:w="948"/>
        <w:gridCol w:w="262"/>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work in process, net</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Inventories, net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LIFO inventories had been valued on a current cost or FIFO basis, they would have been greater by $359 million and $276 million as of December 31, 2025 and 2024, respectively. The inventory reserve for obsolescence was $44 million and $35 million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4 - PROPERTY, PLANT, AND EQUIPMENT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consists of the following as of:</w:t>
      </w:r>
    </w:p>
    <w:tbl>
      <w:tblPr>
        <w:tblW w:w="6955" w:type="dxa"/>
        <w:jc w:val="left"/>
        <w:tblInd w:w="0" w:type="dxa"/>
        <w:tblLayout w:type="fixed"/>
        <w:tblCellMar>
          <w:top w:w="28" w:type="dxa"/>
          <w:left w:w="28" w:type="dxa"/>
          <w:bottom w:w="28" w:type="dxa"/>
          <w:right w:w="28" w:type="dxa"/>
        </w:tblCellMar>
      </w:tblPr>
      <w:tblGrid>
        <w:gridCol w:w="1298"/>
        <w:gridCol w:w="1141"/>
        <w:gridCol w:w="1145"/>
        <w:gridCol w:w="341"/>
        <w:gridCol w:w="969"/>
        <w:gridCol w:w="190"/>
        <w:gridCol w:w="109"/>
        <w:gridCol w:w="109"/>
        <w:gridCol w:w="109"/>
        <w:gridCol w:w="334"/>
        <w:gridCol w:w="948"/>
        <w:gridCol w:w="262"/>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equipment, and fixtures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improvements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Land and improvements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Vehicles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w:t>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4,595 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plant, and equipment for the years ended December 31, 2025, 2024 and 2023 was $307 million, $292 million, and $289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 GOODWILL AND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Company reorganized operations to align around its two primary reportable segments, Medline Brand and Supply Chain Solutions. Subsequent to the reorganization, each of the reportable segments also represents a single reporting unit. See Note 20—Segment Information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2024, total goodwill of $8,070 million was allocated to the new reporting units based on their relative fair value with $6,716 million assigned to Medline Brand and $1,354 million assigned to Supply Chain Solutions. In conjunction with the change in reportable segments, the Company evaluated goodwill for impairment, both before and after the segment change and determined that the goodwill was not impaired.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95250"/>
                <wp:effectExtent l="0" t="0" r="0" b="0"/>
                <wp:wrapNone/>
                <wp:docPr id="107" name="Frame10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105</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 GOODWILL AND INTANGIBLE ASSETS (Continued)</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were as follows:</w:t>
      </w:r>
    </w:p>
    <w:tbl>
      <w:tblPr>
        <w:tblW w:w="6857" w:type="dxa"/>
        <w:jc w:val="left"/>
        <w:tblInd w:w="0" w:type="dxa"/>
        <w:tblLayout w:type="fixed"/>
        <w:tblCellMar>
          <w:top w:w="28" w:type="dxa"/>
          <w:left w:w="28" w:type="dxa"/>
          <w:bottom w:w="28" w:type="dxa"/>
          <w:right w:w="28" w:type="dxa"/>
        </w:tblCellMar>
      </w:tblPr>
      <w:tblGrid>
        <w:gridCol w:w="890"/>
        <w:gridCol w:w="784"/>
        <w:gridCol w:w="786"/>
        <w:gridCol w:w="554"/>
        <w:gridCol w:w="306"/>
        <w:gridCol w:w="310"/>
        <w:gridCol w:w="109"/>
        <w:gridCol w:w="109"/>
        <w:gridCol w:w="109"/>
        <w:gridCol w:w="850"/>
        <w:gridCol w:w="472"/>
        <w:gridCol w:w="477"/>
        <w:gridCol w:w="109"/>
        <w:gridCol w:w="109"/>
        <w:gridCol w:w="109"/>
        <w:gridCol w:w="218"/>
        <w:gridCol w:w="229"/>
        <w:gridCol w:w="327"/>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2023</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7,532</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to reporting segments</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8,070</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8,065</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period adjustments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8,079</w:t>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consist of the following as of:</w:t>
      </w:r>
    </w:p>
    <w:tbl>
      <w:tblPr>
        <w:tblW w:w="11153" w:type="dxa"/>
        <w:jc w:val="left"/>
        <w:tblInd w:w="0" w:type="dxa"/>
        <w:tblLayout w:type="fixed"/>
        <w:tblCellMar>
          <w:top w:w="28" w:type="dxa"/>
          <w:left w:w="28" w:type="dxa"/>
          <w:bottom w:w="28" w:type="dxa"/>
          <w:right w:w="28" w:type="dxa"/>
        </w:tblCellMar>
      </w:tblPr>
      <w:tblGrid>
        <w:gridCol w:w="628"/>
        <w:gridCol w:w="315"/>
        <w:gridCol w:w="258"/>
        <w:gridCol w:w="290"/>
        <w:gridCol w:w="290"/>
        <w:gridCol w:w="291"/>
        <w:gridCol w:w="109"/>
        <w:gridCol w:w="109"/>
        <w:gridCol w:w="109"/>
        <w:gridCol w:w="196"/>
        <w:gridCol w:w="646"/>
        <w:gridCol w:w="109"/>
        <w:gridCol w:w="109"/>
        <w:gridCol w:w="109"/>
        <w:gridCol w:w="109"/>
        <w:gridCol w:w="231"/>
        <w:gridCol w:w="675"/>
        <w:gridCol w:w="130"/>
        <w:gridCol w:w="109"/>
        <w:gridCol w:w="109"/>
        <w:gridCol w:w="109"/>
        <w:gridCol w:w="196"/>
        <w:gridCol w:w="646"/>
        <w:gridCol w:w="109"/>
        <w:gridCol w:w="109"/>
        <w:gridCol w:w="109"/>
        <w:gridCol w:w="109"/>
        <w:gridCol w:w="290"/>
        <w:gridCol w:w="290"/>
        <w:gridCol w:w="291"/>
        <w:gridCol w:w="109"/>
        <w:gridCol w:w="109"/>
        <w:gridCol w:w="109"/>
        <w:gridCol w:w="196"/>
        <w:gridCol w:w="646"/>
        <w:gridCol w:w="109"/>
        <w:gridCol w:w="109"/>
        <w:gridCol w:w="109"/>
        <w:gridCol w:w="109"/>
        <w:gridCol w:w="231"/>
        <w:gridCol w:w="675"/>
        <w:gridCol w:w="130"/>
        <w:gridCol w:w="109"/>
        <w:gridCol w:w="109"/>
        <w:gridCol w:w="109"/>
        <w:gridCol w:w="196"/>
        <w:gridCol w:w="64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 Remaining Useful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 Remaining Useful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Finite-lived intangible assets: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intangible assets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trade names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 of intangible assets, net as of December 31, 2025 includes the final fair values for customer relationships, trade names and developed technology assets. See Note 2—Acquisitions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impairment testing performed did not indicate any impairment of goodwill or intangible assets for the years ended December 31, 2025, 2024, and 2023.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amortization expense for the next five years and thereafter is as follows:</w:t>
      </w:r>
    </w:p>
    <w:tbl>
      <w:tblPr>
        <w:tblW w:w="1853" w:type="dxa"/>
        <w:jc w:val="left"/>
        <w:tblInd w:w="0" w:type="dxa"/>
        <w:tblLayout w:type="fixed"/>
        <w:tblCellMar>
          <w:top w:w="28" w:type="dxa"/>
          <w:left w:w="28" w:type="dxa"/>
          <w:bottom w:w="28" w:type="dxa"/>
          <w:right w:w="28" w:type="dxa"/>
        </w:tblCellMar>
      </w:tblPr>
      <w:tblGrid>
        <w:gridCol w:w="358"/>
        <w:gridCol w:w="315"/>
        <w:gridCol w:w="316"/>
        <w:gridCol w:w="218"/>
        <w:gridCol w:w="265"/>
        <w:gridCol w:w="38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6,548</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95250"/>
                <wp:effectExtent l="0" t="0" r="0" b="0"/>
                <wp:wrapNone/>
                <wp:docPr id="108" name="Frame10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106</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6 - ACCRUED EXPENSES AND OTHER CURRENT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elements of accrued expenses and other current liabilities are as follows as of:</w:t>
      </w:r>
    </w:p>
    <w:p>
      <w:pPr>
        <w:pStyle w:val="TextBody"/>
        <w:bidi w:val="0"/>
        <w:spacing w:before="0" w:after="0"/>
        <w:jc w:val="both"/>
        <w:rPr/>
      </w:pPr>
      <w:r>
        <w:rPr/>
      </w:r>
    </w:p>
    <w:tbl>
      <w:tblPr>
        <w:tblW w:w="7391" w:type="dxa"/>
        <w:jc w:val="left"/>
        <w:tblInd w:w="0" w:type="dxa"/>
        <w:tblLayout w:type="fixed"/>
        <w:tblCellMar>
          <w:top w:w="28" w:type="dxa"/>
          <w:left w:w="28" w:type="dxa"/>
          <w:bottom w:w="28" w:type="dxa"/>
          <w:right w:w="28" w:type="dxa"/>
        </w:tblCellMar>
      </w:tblPr>
      <w:tblGrid>
        <w:gridCol w:w="1452"/>
        <w:gridCol w:w="1278"/>
        <w:gridCol w:w="1290"/>
        <w:gridCol w:w="341"/>
        <w:gridCol w:w="969"/>
        <w:gridCol w:w="190"/>
        <w:gridCol w:w="109"/>
        <w:gridCol w:w="109"/>
        <w:gridCol w:w="109"/>
        <w:gridCol w:w="334"/>
        <w:gridCol w:w="948"/>
        <w:gridCol w:w="262"/>
      </w:tblGrid>
      <w:tr>
        <w:trPr/>
        <w:tc>
          <w:tcPr>
            <w:tcW w:w="145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Payroll</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rebates and distributor chargebacks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 net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tax payable</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accrual (EtO)</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accrued expenses and other current liabilities</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CREDIT AGREEMENTS AND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current portion of long-term borrowings and other short-term borrowings consists of the following as of:</w:t>
      </w:r>
    </w:p>
    <w:tbl>
      <w:tblPr>
        <w:tblW w:w="6055" w:type="dxa"/>
        <w:jc w:val="left"/>
        <w:tblInd w:w="0" w:type="dxa"/>
        <w:tblLayout w:type="fixed"/>
        <w:tblCellMar>
          <w:top w:w="28" w:type="dxa"/>
          <w:left w:w="28" w:type="dxa"/>
          <w:bottom w:w="28" w:type="dxa"/>
          <w:right w:w="28" w:type="dxa"/>
        </w:tblCellMar>
      </w:tblPr>
      <w:tblGrid>
        <w:gridCol w:w="972"/>
        <w:gridCol w:w="855"/>
        <w:gridCol w:w="858"/>
        <w:gridCol w:w="461"/>
        <w:gridCol w:w="779"/>
        <w:gridCol w:w="259"/>
        <w:gridCol w:w="109"/>
        <w:gridCol w:w="109"/>
        <w:gridCol w:w="109"/>
        <w:gridCol w:w="443"/>
        <w:gridCol w:w="750"/>
        <w:gridCol w:w="351"/>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Current portion of long-term debt </w:t>
            </w:r>
            <w:r>
              <w:rPr>
                <w:rFonts w:ascii="Times New Roman;serif" w:hAnsi="Times New Roman;serif"/>
                <w:b w:val="false"/>
                <w:color w:val="000000"/>
                <w:sz w:val="12"/>
              </w:rPr>
              <w:t>(1)</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short-term debt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Consists of a portion of the secured Dollar Term Loans bearing variable interest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long-term borrowings and the effective interest rates are summarized as follows as of:</w:t>
      </w:r>
    </w:p>
    <w:tbl>
      <w:tblPr>
        <w:tblW w:w="10205" w:type="dxa"/>
        <w:jc w:val="left"/>
        <w:tblInd w:w="0" w:type="dxa"/>
        <w:tblLayout w:type="fixed"/>
        <w:tblCellMar>
          <w:top w:w="28" w:type="dxa"/>
          <w:left w:w="28" w:type="dxa"/>
          <w:bottom w:w="28" w:type="dxa"/>
          <w:right w:w="28" w:type="dxa"/>
        </w:tblCellMar>
      </w:tblPr>
      <w:tblGrid>
        <w:gridCol w:w="857"/>
        <w:gridCol w:w="730"/>
        <w:gridCol w:w="677"/>
        <w:gridCol w:w="345"/>
        <w:gridCol w:w="345"/>
        <w:gridCol w:w="346"/>
        <w:gridCol w:w="109"/>
        <w:gridCol w:w="109"/>
        <w:gridCol w:w="109"/>
        <w:gridCol w:w="199"/>
        <w:gridCol w:w="657"/>
        <w:gridCol w:w="110"/>
        <w:gridCol w:w="109"/>
        <w:gridCol w:w="109"/>
        <w:gridCol w:w="109"/>
        <w:gridCol w:w="446"/>
        <w:gridCol w:w="404"/>
        <w:gridCol w:w="954"/>
        <w:gridCol w:w="109"/>
        <w:gridCol w:w="109"/>
        <w:gridCol w:w="109"/>
        <w:gridCol w:w="199"/>
        <w:gridCol w:w="657"/>
        <w:gridCol w:w="110"/>
        <w:gridCol w:w="109"/>
        <w:gridCol w:w="109"/>
        <w:gridCol w:w="109"/>
        <w:gridCol w:w="422"/>
        <w:gridCol w:w="377"/>
        <w:gridCol w:w="1062"/>
      </w:tblGrid>
      <w:tr>
        <w:trPr/>
        <w:tc>
          <w:tcPr>
            <w:tcW w:w="85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Maturity dates </w:t>
              <w:br/>
              <w:t>by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effective interest rate</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Long-term borrowings</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debt</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unsecured debt</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Secured debt</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Variable (euro-denominated) </w:t>
            </w:r>
            <w:r>
              <w:rPr>
                <w:rFonts w:ascii="Times New Roman;serif" w:hAnsi="Times New Roman;serif"/>
                <w:b w:val="false"/>
                <w:color w:val="000000"/>
                <w:sz w:val="12"/>
              </w:rPr>
              <w:t>(1)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2026 - 2030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0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secured debt</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debt</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due within one year</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Total other </w:t>
            </w:r>
            <w:r>
              <w:rPr>
                <w:rFonts w:ascii="Times New Roman;serif" w:hAnsi="Times New Roman;serif"/>
                <w:b w:val="false"/>
                <w:color w:val="000000"/>
                <w:sz w:val="12"/>
              </w:rPr>
              <w:t>(2)</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Long-term borrowings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exchange rate adjustments.</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$41 million of embedded derivative related to the Dollar Term Loans and deferred financing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0510"/>
                <wp:effectExtent l="0" t="0" r="0" b="0"/>
                <wp:wrapNone/>
                <wp:docPr id="109" name="Frame108"/>
                <a:graphic xmlns:a="http://schemas.openxmlformats.org/drawingml/2006/main">
                  <a:graphicData uri="http://schemas.microsoft.com/office/word/2010/wordprocessingShape">
                    <wps:wsp>
                      <wps:cNvSpPr txBox="1"/>
                      <wps:spPr>
                        <a:xfrm>
                          <a:off x="0" y="0"/>
                          <a:ext cx="6480175" cy="2705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107</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CREDIT AGREEMENTS AND BORROWINGS (Continued)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Senior Secured and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the Company issued senior secured notes with a principal amount of $4,500 million, at a fixed rate of 3.875% and maturity date of April 1, 2029 and senior unsecured notes with a principal amount of $2,500 million at a fixed rate of 5.250% with a maturity date of October 1, 2029.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Company issued senior secured notes with a principal amount of $1,500 million at a fixed rate of 6.250% and a maturity date of April 1,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on all aforementioned senior secured and unsecured notes is payable in cash on a semi-annual basis, with payments made in arrears on April 1 and October 1 of each calendar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Term Loan Facilities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2021, the Company borrowed $7,270 million under a senior secured term loan facility (the “Dollar Term Loans”), in addition to €435 million under a separate euro-denominated senior secured term loan facility (the “Euro Term Loans”), both established under a credit agreement (the “Credit Agreement”). The Credit Agreement permits the Company, at any time, subject to customary conditions, to request incremental term loans or incremental revolving credit commitments in an aggregate principal amount of up to (a) the greater of (1) $2,375 million and (2) an amount equal to 100% of the Company’s trailing consolidated EBITDA (as defined in the Credit Agreement)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Credit Agreement underwent three separate amendments. These amendments resulted in an increase of $520 million in the principal amount of the Dollar Term Loans, as well as an increase of €185 million in the aggregate principal amount of the Euro Term Loans. In addition, pursuant to the amendments, the applicable interest rate margins were lowered, resulting in a variable interest rate of Secured Overnight Financing Rate (“SOFR”) plus a spread of 2.25% for the Dollar Term Loans, and a variable interest rate of EURO Interbank offer Rate plus an applicable spread ranging from 2.25% to 2.75% based on certain of the Company’s debt ratios for the Euro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2025, the Credit Agreement was amended to reduce the margin spread and to extend the maturity of certain obligations. Pursuant to the amendment, all of the Dollar Term Loans are subject to a margin spread of SOFR plus 2.00%. The principal amount of the Dollar Term Loans equal to $4,074 million will mature on October 21, 2028, which remained unchanged, while the principal amount of the Dollar Term Loans equal to $3,500 million will mature on October 23, 2030, extended from the original maturity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the Company used a portion of the proceeds from the IPO to prepay a portion of the Dollar Term Loans with a maturity date of October 21, 2028 in the amount of $3,281 million and all of the outstanding principal of the Euro Term Loans, equivalent to $730 million. Per the terms of the Credit Agreement, the completion of the IPO also triggered a reduction in variable interest rate of 0.25%, resulting in a variable interest rate of SOFR plus 1.75% for the remaining Dollar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Credit Agreement amendments and the debt prepayments, the Company paid debt modification expenses of $6 and $24 for the years ended December 31, 2025 and 2024, respectively. The Company also incurred debt extinguishment losses of $58 and $32 for writing off unamortized issuing discounts and deferred financing costs associated with the debts repaid, for the years ended December 31, 2025 and 2024, respectively. These costs were included in Other (expense) income, net on the Consolidated Statements of Comprehensive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70510"/>
                <wp:effectExtent l="0" t="0" r="0" b="0"/>
                <wp:wrapNone/>
                <wp:docPr id="110" name="Frame109"/>
                <a:graphic xmlns:a="http://schemas.openxmlformats.org/drawingml/2006/main">
                  <a:graphicData uri="http://schemas.microsoft.com/office/word/2010/wordprocessingShape">
                    <wps:wsp>
                      <wps:cNvSpPr txBox="1"/>
                      <wps:spPr>
                        <a:xfrm>
                          <a:off x="0" y="0"/>
                          <a:ext cx="6480175" cy="2705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108</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CREDIT AGREEMENTS AND BORROWINGS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Dollar Term Loans require quarterly amortization payments of 0.25% of the amended principal due at each calendar quarter-end. These amortization payments were $76 million and $50 million for the years ended December 31, 2025 and 2024, respectively. The Euro Term Loans did not have any mandatory amortization payments.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long-term borrowings as of December 31, 2025 and 2024 was based on recent trades as reported by a third-party bond pricing service and summarized as follows. Due to the infrequency of trades, these inputs are considered to be Level 2 inputs.</w:t>
      </w:r>
    </w:p>
    <w:p>
      <w:pPr>
        <w:pStyle w:val="TextBody"/>
        <w:bidi w:val="0"/>
        <w:spacing w:before="0" w:after="0"/>
        <w:jc w:val="both"/>
        <w:rPr/>
      </w:pPr>
      <w:r>
        <w:rPr/>
      </w:r>
    </w:p>
    <w:tbl>
      <w:tblPr>
        <w:tblW w:w="5421" w:type="dxa"/>
        <w:jc w:val="left"/>
        <w:tblInd w:w="0" w:type="dxa"/>
        <w:tblLayout w:type="fixed"/>
        <w:tblCellMar>
          <w:top w:w="28" w:type="dxa"/>
          <w:left w:w="28" w:type="dxa"/>
          <w:bottom w:w="28" w:type="dxa"/>
          <w:right w:w="28" w:type="dxa"/>
        </w:tblCellMar>
      </w:tblPr>
      <w:tblGrid>
        <w:gridCol w:w="624"/>
        <w:gridCol w:w="549"/>
        <w:gridCol w:w="551"/>
        <w:gridCol w:w="109"/>
        <w:gridCol w:w="109"/>
        <w:gridCol w:w="109"/>
        <w:gridCol w:w="338"/>
        <w:gridCol w:w="987"/>
        <w:gridCol w:w="174"/>
        <w:gridCol w:w="109"/>
        <w:gridCol w:w="109"/>
        <w:gridCol w:w="109"/>
        <w:gridCol w:w="332"/>
        <w:gridCol w:w="970"/>
        <w:gridCol w:w="242"/>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Dollar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Euro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3.875% fixed rate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5.250% fixed rate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6.250% fixed rate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indentures contain certain affirmative and negative covenants, which require, among other provisions, delivery of the consolidated financial statements to the relevant note holders. Compliance with the covenants does not significantly impact the Company’s operations. As of December 31, 2025, the Company was in compliance with all the covenants under the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aggregate principal amounts over the next five years are as follows:</w:t>
      </w:r>
    </w:p>
    <w:p>
      <w:pPr>
        <w:pStyle w:val="TextBody"/>
        <w:bidi w:val="0"/>
        <w:spacing w:before="0" w:after="0"/>
        <w:jc w:val="both"/>
        <w:rPr/>
      </w:pPr>
      <w:r>
        <w:rPr/>
      </w:r>
    </w:p>
    <w:tbl>
      <w:tblPr>
        <w:tblW w:w="2428" w:type="dxa"/>
        <w:jc w:val="left"/>
        <w:tblInd w:w="0" w:type="dxa"/>
        <w:tblLayout w:type="fixed"/>
        <w:tblCellMar>
          <w:top w:w="28" w:type="dxa"/>
          <w:left w:w="28" w:type="dxa"/>
          <w:bottom w:w="28" w:type="dxa"/>
          <w:right w:w="28" w:type="dxa"/>
        </w:tblCellMar>
      </w:tblPr>
      <w:tblGrid>
        <w:gridCol w:w="358"/>
        <w:gridCol w:w="315"/>
        <w:gridCol w:w="316"/>
        <w:gridCol w:w="283"/>
        <w:gridCol w:w="934"/>
        <w:gridCol w:w="222"/>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Annual Maturities</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Revolving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certain lenders provided the Company with commitments under a $1,000 million senior secured revolving credit facility under the Credit Agreement (the “Revolving Credit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amendment to the Credit Agreement in 2024 extended the maturity date of the Revolving Credit Facility from October 21, 2026 to July 8, 2029 (subject to a springing maturity 91 days inside of the maturity date of all secured and unsecured notes and term loan facilities) and did not change the maximum borrowing capacity of $1,000 million or any other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28, 2025, the Company amended the Credit Agreement to permit letter of credit issuers to issue letters of credit in excess of their respective letter of credit commitments and to obligate the other lenders under the Company’s Revolving Credit Facility to participate in such letters of credit, subject to other customary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95250"/>
                <wp:effectExtent l="0" t="0" r="0" b="0"/>
                <wp:wrapNone/>
                <wp:docPr id="111" name="Frame11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109</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br/>
        <w:t>NOTE 7 – CREDIT AGREEMENTS AND BORROWINGS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Revolving Credit Facility had several financial institutions as lenders for a maximum borrowing capacity of $1,000 million. The Revolving Credit Facility accrues commitment fees in respect of unfunded commitments thereunder. Letters of credit issued under the Revolving Credit Facility reduce availability under the Revolving Credit Facility dollar-for-dollar. As of December 31, 2025 and 2024, availability under the Revolving Credit Facility was $947 million and $951 million, respectively, after taking into account outstanding letters of credit of $53 million and $49 million, respectively. The Company borrowed and repaid $179 million and $166 million under the Revolving Credit Facility during the years ended December 31, 2025 and 2024, respectively, which resulted in no amounts outstanding as of December 31, 2025 or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may be repaid and borrowed again, partially or wholly at any time, from time to time, as elected by the Company and interest is typically paid on a monthly or quarterly basis, depending on the interest period elected.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which require, among other provisions, delivery of the consolidated financial statements to the relevant debt holders. As of December 31, 2025, the Company was in compliance with all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8 - INTEREST EXPENSE,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Interest expense, net:</w:t>
      </w:r>
    </w:p>
    <w:p>
      <w:pPr>
        <w:pStyle w:val="TextBody"/>
        <w:bidi w:val="0"/>
        <w:spacing w:before="0" w:after="0"/>
        <w:jc w:val="both"/>
        <w:rPr/>
      </w:pPr>
      <w:r>
        <w:rPr/>
      </w:r>
    </w:p>
    <w:tbl>
      <w:tblPr>
        <w:tblW w:w="7328" w:type="dxa"/>
        <w:jc w:val="left"/>
        <w:tblInd w:w="0" w:type="dxa"/>
        <w:tblLayout w:type="fixed"/>
        <w:tblCellMar>
          <w:top w:w="28" w:type="dxa"/>
          <w:left w:w="28" w:type="dxa"/>
          <w:bottom w:w="28" w:type="dxa"/>
          <w:right w:w="28" w:type="dxa"/>
        </w:tblCellMar>
      </w:tblPr>
      <w:tblGrid>
        <w:gridCol w:w="614"/>
        <w:gridCol w:w="540"/>
        <w:gridCol w:w="541"/>
        <w:gridCol w:w="109"/>
        <w:gridCol w:w="109"/>
        <w:gridCol w:w="109"/>
        <w:gridCol w:w="109"/>
        <w:gridCol w:w="391"/>
        <w:gridCol w:w="890"/>
        <w:gridCol w:w="219"/>
        <w:gridCol w:w="109"/>
        <w:gridCol w:w="109"/>
        <w:gridCol w:w="109"/>
        <w:gridCol w:w="314"/>
        <w:gridCol w:w="1011"/>
        <w:gridCol w:w="174"/>
        <w:gridCol w:w="109"/>
        <w:gridCol w:w="109"/>
        <w:gridCol w:w="109"/>
        <w:gridCol w:w="308"/>
        <w:gridCol w:w="994"/>
        <w:gridCol w:w="242"/>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6" w:type="dxa"/>
            <w:gridSpan w:val="16"/>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1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LEASES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Lessee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lease cost:</w:t>
      </w:r>
    </w:p>
    <w:p>
      <w:pPr>
        <w:pStyle w:val="TextBody"/>
        <w:bidi w:val="0"/>
        <w:spacing w:before="0" w:after="0"/>
        <w:jc w:val="both"/>
        <w:rPr/>
      </w:pPr>
      <w:r>
        <w:rPr/>
      </w:r>
    </w:p>
    <w:tbl>
      <w:tblPr>
        <w:tblW w:w="6800" w:type="dxa"/>
        <w:jc w:val="left"/>
        <w:tblInd w:w="0" w:type="dxa"/>
        <w:tblLayout w:type="fixed"/>
        <w:tblCellMar>
          <w:top w:w="28" w:type="dxa"/>
          <w:left w:w="28" w:type="dxa"/>
          <w:bottom w:w="28" w:type="dxa"/>
          <w:right w:w="28" w:type="dxa"/>
        </w:tblCellMar>
      </w:tblPr>
      <w:tblGrid>
        <w:gridCol w:w="581"/>
        <w:gridCol w:w="511"/>
        <w:gridCol w:w="512"/>
        <w:gridCol w:w="403"/>
        <w:gridCol w:w="868"/>
        <w:gridCol w:w="228"/>
        <w:gridCol w:w="109"/>
        <w:gridCol w:w="109"/>
        <w:gridCol w:w="109"/>
        <w:gridCol w:w="403"/>
        <w:gridCol w:w="868"/>
        <w:gridCol w:w="228"/>
        <w:gridCol w:w="109"/>
        <w:gridCol w:w="109"/>
        <w:gridCol w:w="109"/>
        <w:gridCol w:w="443"/>
        <w:gridCol w:w="750"/>
        <w:gridCol w:w="351"/>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cost</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lease cost</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lease cost, net</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Variable lease cost primarily includes payments for operating expenses, maintenance, electricity and property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lease-related assets and liabilities recorded on the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95250"/>
                <wp:effectExtent l="0" t="0" r="0" b="0"/>
                <wp:wrapNone/>
                <wp:docPr id="112" name="Frame11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LEASES (Continued)</w:t>
      </w:r>
    </w:p>
    <w:tbl>
      <w:tblPr>
        <w:tblW w:w="9865" w:type="dxa"/>
        <w:jc w:val="left"/>
        <w:tblInd w:w="0" w:type="dxa"/>
        <w:tblLayout w:type="fixed"/>
        <w:tblCellMar>
          <w:top w:w="28" w:type="dxa"/>
          <w:left w:w="28" w:type="dxa"/>
          <w:bottom w:w="28" w:type="dxa"/>
          <w:right w:w="28" w:type="dxa"/>
        </w:tblCellMar>
      </w:tblPr>
      <w:tblGrid>
        <w:gridCol w:w="1152"/>
        <w:gridCol w:w="1011"/>
        <w:gridCol w:w="1016"/>
        <w:gridCol w:w="1104"/>
        <w:gridCol w:w="1104"/>
        <w:gridCol w:w="1107"/>
        <w:gridCol w:w="403"/>
        <w:gridCol w:w="868"/>
        <w:gridCol w:w="228"/>
        <w:gridCol w:w="109"/>
        <w:gridCol w:w="109"/>
        <w:gridCol w:w="109"/>
        <w:gridCol w:w="392"/>
        <w:gridCol w:w="843"/>
        <w:gridCol w:w="310"/>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Balance Sheets captions: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leases: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operating lease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The Company’s operating leases have a weighted-average remaining lease term of 7 years for both December 31, 2025 and 2024. The weighted-average discount rate of the Company’s operating leases is 7% and 8% for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lease annual operating lease payments under non-cancelable leases over the next five years and thereafter is as follows:</w:t>
      </w:r>
    </w:p>
    <w:tbl>
      <w:tblPr>
        <w:tblW w:w="3830" w:type="dxa"/>
        <w:jc w:val="left"/>
        <w:tblInd w:w="0" w:type="dxa"/>
        <w:tblLayout w:type="fixed"/>
        <w:tblCellMar>
          <w:top w:w="28" w:type="dxa"/>
          <w:left w:w="28" w:type="dxa"/>
          <w:bottom w:w="28" w:type="dxa"/>
          <w:right w:w="28" w:type="dxa"/>
        </w:tblCellMar>
      </w:tblPr>
      <w:tblGrid>
        <w:gridCol w:w="1108"/>
        <w:gridCol w:w="974"/>
        <w:gridCol w:w="977"/>
        <w:gridCol w:w="196"/>
        <w:gridCol w:w="4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Present value of future lease payments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executed operating lease agreements for warehouse distribution facilities that have not yet commenced. As such the total expected future lease payments of $312 million for these agreements are not reflected in the table above. These operating leases will commence after December 31, 2025 with lease terms of 12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Lessor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lease income recorded in Cost of goods sold and Selling, general and administrative expenses:</w:t>
      </w:r>
    </w:p>
    <w:p>
      <w:pPr>
        <w:pStyle w:val="TextBody"/>
        <w:bidi w:val="0"/>
        <w:spacing w:before="0" w:after="0"/>
        <w:jc w:val="both"/>
        <w:rPr/>
      </w:pPr>
      <w:r>
        <w:rPr/>
      </w:r>
    </w:p>
    <w:tbl>
      <w:tblPr>
        <w:tblW w:w="6966" w:type="dxa"/>
        <w:jc w:val="left"/>
        <w:tblInd w:w="0" w:type="dxa"/>
        <w:tblLayout w:type="fixed"/>
        <w:tblCellMar>
          <w:top w:w="28" w:type="dxa"/>
          <w:left w:w="28" w:type="dxa"/>
          <w:bottom w:w="28" w:type="dxa"/>
          <w:right w:w="28" w:type="dxa"/>
        </w:tblCellMar>
      </w:tblPr>
      <w:tblGrid>
        <w:gridCol w:w="641"/>
        <w:gridCol w:w="564"/>
        <w:gridCol w:w="565"/>
        <w:gridCol w:w="461"/>
        <w:gridCol w:w="779"/>
        <w:gridCol w:w="259"/>
        <w:gridCol w:w="109"/>
        <w:gridCol w:w="109"/>
        <w:gridCol w:w="109"/>
        <w:gridCol w:w="461"/>
        <w:gridCol w:w="779"/>
        <w:gridCol w:w="259"/>
        <w:gridCol w:w="109"/>
        <w:gridCol w:w="109"/>
        <w:gridCol w:w="109"/>
        <w:gridCol w:w="443"/>
        <w:gridCol w:w="750"/>
        <w:gridCol w:w="351"/>
      </w:tblGrid>
      <w:tr>
        <w:trPr/>
        <w:tc>
          <w:tcPr>
            <w:tcW w:w="64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income</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income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lease income</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variable lease income includes reimbursements for tenant improvements, property tax, services, utilities, and maintenance.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95250"/>
                <wp:effectExtent l="0" t="0" r="0" b="0"/>
                <wp:wrapNone/>
                <wp:docPr id="113" name="Frame11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LEASES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maturities of operating lease receivables over the next five years and thereafter is as follows:</w:t>
      </w:r>
    </w:p>
    <w:p>
      <w:pPr>
        <w:pStyle w:val="TextBody"/>
        <w:bidi w:val="0"/>
        <w:spacing w:before="0" w:after="0"/>
        <w:jc w:val="both"/>
        <w:rPr/>
      </w:pPr>
      <w:r>
        <w:rPr/>
      </w:r>
    </w:p>
    <w:tbl>
      <w:tblPr>
        <w:tblW w:w="3005" w:type="dxa"/>
        <w:jc w:val="left"/>
        <w:tblInd w:w="0" w:type="dxa"/>
        <w:tblLayout w:type="fixed"/>
        <w:tblCellMar>
          <w:top w:w="28" w:type="dxa"/>
          <w:left w:w="28" w:type="dxa"/>
          <w:bottom w:w="28" w:type="dxa"/>
          <w:right w:w="28" w:type="dxa"/>
        </w:tblCellMar>
      </w:tblPr>
      <w:tblGrid>
        <w:gridCol w:w="841"/>
        <w:gridCol w:w="740"/>
        <w:gridCol w:w="743"/>
        <w:gridCol w:w="196"/>
        <w:gridCol w:w="331"/>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future lease receivables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Assets under operating leases are included in Property, plant, and equipment, net of the Company’s Consolidated Balance Sheets and consist of the following as of:</w:t>
      </w:r>
    </w:p>
    <w:tbl>
      <w:tblPr>
        <w:tblW w:w="6086" w:type="dxa"/>
        <w:jc w:val="left"/>
        <w:tblInd w:w="0" w:type="dxa"/>
        <w:tblLayout w:type="fixed"/>
        <w:tblCellMar>
          <w:top w:w="28" w:type="dxa"/>
          <w:left w:w="28" w:type="dxa"/>
          <w:bottom w:w="28" w:type="dxa"/>
          <w:right w:w="28" w:type="dxa"/>
        </w:tblCellMar>
      </w:tblPr>
      <w:tblGrid>
        <w:gridCol w:w="982"/>
        <w:gridCol w:w="864"/>
        <w:gridCol w:w="869"/>
        <w:gridCol w:w="403"/>
        <w:gridCol w:w="868"/>
        <w:gridCol w:w="228"/>
        <w:gridCol w:w="109"/>
        <w:gridCol w:w="109"/>
        <w:gridCol w:w="109"/>
        <w:gridCol w:w="392"/>
        <w:gridCol w:w="843"/>
        <w:gridCol w:w="310"/>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improvements</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Land and improvements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 under operating leases, net</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RETIREMENT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non-contributory defined benefit retirement plan obligations at several foreign subsidiaries. These plans cover certain employees, as defined, within those foreign jurisdictions. The Company uses December 31 as the measurement date of its defined benefit pension plans.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various plans’ unfunded status and amounts recognized in the Company’s Consolidated Balance Sheets:</w:t>
      </w:r>
    </w:p>
    <w:tbl>
      <w:tblPr>
        <w:tblW w:w="5665" w:type="dxa"/>
        <w:jc w:val="left"/>
        <w:tblInd w:w="0" w:type="dxa"/>
        <w:tblLayout w:type="fixed"/>
        <w:tblCellMar>
          <w:top w:w="28" w:type="dxa"/>
          <w:left w:w="28" w:type="dxa"/>
          <w:bottom w:w="28" w:type="dxa"/>
          <w:right w:w="28" w:type="dxa"/>
        </w:tblCellMar>
      </w:tblPr>
      <w:tblGrid>
        <w:gridCol w:w="831"/>
        <w:gridCol w:w="731"/>
        <w:gridCol w:w="733"/>
        <w:gridCol w:w="461"/>
        <w:gridCol w:w="779"/>
        <w:gridCol w:w="259"/>
        <w:gridCol w:w="109"/>
        <w:gridCol w:w="109"/>
        <w:gridCol w:w="109"/>
        <w:gridCol w:w="443"/>
        <w:gridCol w:w="750"/>
        <w:gridCol w:w="351"/>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Projected benefit obligation</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Fair value of plan assets </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Unfunded status</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recognized in the Consolidated Balance Sheets are as below:</w:t>
      </w:r>
    </w:p>
    <w:p>
      <w:pPr>
        <w:pStyle w:val="TextBody"/>
        <w:bidi w:val="0"/>
        <w:spacing w:before="0" w:after="0"/>
        <w:jc w:val="both"/>
        <w:rPr/>
      </w:pPr>
      <w:r>
        <w:rPr/>
      </w:r>
    </w:p>
    <w:tbl>
      <w:tblPr>
        <w:tblW w:w="6699" w:type="dxa"/>
        <w:jc w:val="left"/>
        <w:tblInd w:w="0" w:type="dxa"/>
        <w:tblLayout w:type="fixed"/>
        <w:tblCellMar>
          <w:top w:w="28" w:type="dxa"/>
          <w:left w:w="28" w:type="dxa"/>
          <w:bottom w:w="28" w:type="dxa"/>
          <w:right w:w="28" w:type="dxa"/>
        </w:tblCellMar>
      </w:tblPr>
      <w:tblGrid>
        <w:gridCol w:w="1205"/>
        <w:gridCol w:w="1060"/>
        <w:gridCol w:w="1064"/>
        <w:gridCol w:w="450"/>
        <w:gridCol w:w="797"/>
        <w:gridCol w:w="252"/>
        <w:gridCol w:w="109"/>
        <w:gridCol w:w="109"/>
        <w:gridCol w:w="109"/>
        <w:gridCol w:w="434"/>
        <w:gridCol w:w="766"/>
        <w:gridCol w:w="344"/>
      </w:tblGrid>
      <w:tr>
        <w:trPr/>
        <w:tc>
          <w:tcPr>
            <w:tcW w:w="12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liability recognized</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relating to unfunded status that have an accumulated benefit obligation in excess of plan assets:</w:t>
      </w:r>
    </w:p>
    <w:tbl>
      <w:tblPr>
        <w:tblW w:w="5694" w:type="dxa"/>
        <w:jc w:val="left"/>
        <w:tblInd w:w="0" w:type="dxa"/>
        <w:tblLayout w:type="fixed"/>
        <w:tblCellMar>
          <w:top w:w="28" w:type="dxa"/>
          <w:left w:w="28" w:type="dxa"/>
          <w:bottom w:w="28" w:type="dxa"/>
          <w:right w:w="28" w:type="dxa"/>
        </w:tblCellMar>
      </w:tblPr>
      <w:tblGrid>
        <w:gridCol w:w="840"/>
        <w:gridCol w:w="739"/>
        <w:gridCol w:w="745"/>
        <w:gridCol w:w="461"/>
        <w:gridCol w:w="779"/>
        <w:gridCol w:w="259"/>
        <w:gridCol w:w="109"/>
        <w:gridCol w:w="109"/>
        <w:gridCol w:w="109"/>
        <w:gridCol w:w="443"/>
        <w:gridCol w:w="750"/>
        <w:gridCol w:w="351"/>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benefit obligation</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Fair value of plan assets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Unfunded status</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95250"/>
                <wp:effectExtent l="0" t="0" r="0" b="0"/>
                <wp:wrapNone/>
                <wp:docPr id="114" name="Frame11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RETIREMENT PLANS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funds the minimum contribution required under the various statutory requirements of each foreign jurisdiction. Employer’s contribution to obligation and benefits paid by the employer under the plan were not material during the years ended December 31, 2025, 2024 and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weighted-average assumptions are as follows:</w:t>
      </w:r>
    </w:p>
    <w:tbl>
      <w:tblPr>
        <w:tblW w:w="8007" w:type="dxa"/>
        <w:jc w:val="left"/>
        <w:tblInd w:w="0" w:type="dxa"/>
        <w:tblLayout w:type="fixed"/>
        <w:tblCellMar>
          <w:top w:w="28" w:type="dxa"/>
          <w:left w:w="28" w:type="dxa"/>
          <w:bottom w:w="28" w:type="dxa"/>
          <w:right w:w="28" w:type="dxa"/>
        </w:tblCellMar>
      </w:tblPr>
      <w:tblGrid>
        <w:gridCol w:w="1081"/>
        <w:gridCol w:w="949"/>
        <w:gridCol w:w="954"/>
        <w:gridCol w:w="233"/>
        <w:gridCol w:w="233"/>
        <w:gridCol w:w="464"/>
        <w:gridCol w:w="128"/>
        <w:gridCol w:w="128"/>
        <w:gridCol w:w="128"/>
        <w:gridCol w:w="233"/>
        <w:gridCol w:w="233"/>
        <w:gridCol w:w="537"/>
        <w:gridCol w:w="109"/>
        <w:gridCol w:w="109"/>
        <w:gridCol w:w="109"/>
        <w:gridCol w:w="233"/>
        <w:gridCol w:w="233"/>
        <w:gridCol w:w="464"/>
        <w:gridCol w:w="127"/>
        <w:gridCol w:w="127"/>
        <w:gridCol w:w="127"/>
        <w:gridCol w:w="233"/>
        <w:gridCol w:w="233"/>
        <w:gridCol w:w="602"/>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Benefit</w:t>
              <w:br/>
              <w:t>Obligation</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Periodic</w:t>
              <w:br/>
              <w:t>Benefit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Benefit</w:t>
              <w:br/>
              <w:t>Obligation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Periodic</w:t>
              <w:br/>
              <w:t>Benefit Cost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Weighted-average discount rate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Rate of compensation increase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5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Social Security increase rate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4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5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4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Pension increase rate (in payment)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5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long term return on plan assets</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5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Estimated benefit payments over the next five years and thereafter are as follows:</w:t>
      </w:r>
    </w:p>
    <w:tbl>
      <w:tblPr>
        <w:tblW w:w="1670" w:type="dxa"/>
        <w:jc w:val="left"/>
        <w:tblInd w:w="0" w:type="dxa"/>
        <w:tblLayout w:type="fixed"/>
        <w:tblCellMar>
          <w:top w:w="28" w:type="dxa"/>
          <w:left w:w="28" w:type="dxa"/>
          <w:bottom w:w="28" w:type="dxa"/>
          <w:right w:w="28" w:type="dxa"/>
        </w:tblCellMar>
      </w:tblPr>
      <w:tblGrid>
        <w:gridCol w:w="358"/>
        <w:gridCol w:w="315"/>
        <w:gridCol w:w="316"/>
        <w:gridCol w:w="196"/>
        <w:gridCol w:w="331"/>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Company’s domestic employees are eligible to be enrolled in the company-sponsored contributory retirement savings plans, which include features under Section 401(k) of the Internal Revenue Code of 1986, and provide for matching and discretionary contributions by the Company.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total expense for the employee retirement savings plan for the years ended December 31, 2025, 2024 and 2023 was $49 million, $43 million and $37 million, respectively, which were included in Selling, general and administrative expenses on the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11 - TAX RECEIVABLE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 entered into a TRA with certain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the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(iii) Medline Inc.’s utilization of certain tax attributes (including any existing tax basis) of certain entities that are taxable as corporations for U.S. federal income tax purposes through which the pre-IPO owners held their interest in Medline Holdings prior to the IPO, which Medline Inc. acquired in connection with the IPO, and (iv) certain other tax benefits related to entering into the TRA, including tax benefits attributable to payments under the TRA.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95250"/>
                <wp:effectExtent l="0" t="0" r="0" b="0"/>
                <wp:wrapNone/>
                <wp:docPr id="115" name="Frame11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11 - TAX RECEIVABLE AGREEMENT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Sales or exchanges of Common Units by their holders to Medline are expected to result in increases in the tax basis of the assets of Medline Holdings. The existing tax basis, increases in existing tax basis, and the tax basis adjustments generated over time may increase (for tax purpose) depreciation and amortization deductions available to Medline Inc. and, therefore, may reduce the amount of tax that Medline Inc. would otherwise be required to pay in the future. Actual tax benefits realized by Medline Inc. may differ from tax benefits calculated under the tax receivable agreement as a result of the use of certain assumptions in the TRA, including the use of an assumed weighted-average state and local income tax rate of 6% (as adjusted to take into account the U.S. federal tax benefit of such taxes) to calculate the tax benefits. This payment obligation is an obligation of Medline Inc. and not of Medline Holdings. Changes in the estimate of expected tax benefits Medline would realize and the amount payable under the TRA as a result of changes in tax rates will be reflected in the Consolidated Statements of Comprehensive Income. </w:t>
      </w:r>
    </w:p>
    <w:p>
      <w:pPr>
        <w:pStyle w:val="TextBody"/>
        <w:bidi w:val="0"/>
        <w:spacing w:lineRule="auto" w:line="288" w:before="200" w:after="283"/>
        <w:jc w:val="both"/>
        <w:rPr/>
      </w:pPr>
      <w:r>
        <w:rPr>
          <w:rFonts w:ascii="Times New Roman;serif" w:hAnsi="Times New Roman;serif"/>
          <w:b w:val="false"/>
          <w:color w:val="000000"/>
          <w:sz w:val="20"/>
        </w:rPr>
        <w:t xml:space="preserve">As of December 31, 2025, the Company recorded a TRA liability of $3,542 million, as a result of the Reorganization, the IPO and the exercise of the underwriters’ option </w:t>
      </w:r>
      <w:r>
        <w:rPr>
          <w:rFonts w:ascii="Times New Roman;serif" w:hAnsi="Times New Roman;serif"/>
          <w:b w:val="false"/>
          <w:color w:val="000000"/>
          <w:sz w:val="20"/>
          <w:shd w:fill="FFFFFF" w:val="clear"/>
        </w:rPr>
        <w:t>to purchase additional shares</w:t>
      </w:r>
      <w:r>
        <w:rPr>
          <w:rFonts w:ascii="Times New Roman;serif" w:hAnsi="Times New Roman;serif"/>
          <w:b w:val="false"/>
          <w:color w:val="000000"/>
          <w:sz w:val="20"/>
        </w:rPr>
        <w:t xml:space="preserve">, unchanged from the time of IPO. During the year ended December 31, 2025, the Company did not make any payment pursuant to the TRA or record a remeasurement adjustment.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Income Before Income Tax Expense by Category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before taxes and equity in earnings of affiliates from continuing operations was as follows:</w:t>
      </w:r>
    </w:p>
    <w:tbl>
      <w:tblPr>
        <w:tblW w:w="8469" w:type="dxa"/>
        <w:jc w:val="left"/>
        <w:tblInd w:w="0" w:type="dxa"/>
        <w:tblLayout w:type="fixed"/>
        <w:tblCellMar>
          <w:top w:w="28" w:type="dxa"/>
          <w:left w:w="28" w:type="dxa"/>
          <w:bottom w:w="28" w:type="dxa"/>
          <w:right w:w="28" w:type="dxa"/>
        </w:tblCellMar>
      </w:tblPr>
      <w:tblGrid>
        <w:gridCol w:w="1183"/>
        <w:gridCol w:w="1042"/>
        <w:gridCol w:w="1045"/>
        <w:gridCol w:w="341"/>
        <w:gridCol w:w="969"/>
        <w:gridCol w:w="190"/>
        <w:gridCol w:w="109"/>
        <w:gridCol w:w="109"/>
        <w:gridCol w:w="109"/>
        <w:gridCol w:w="341"/>
        <w:gridCol w:w="969"/>
        <w:gridCol w:w="190"/>
        <w:gridCol w:w="109"/>
        <w:gridCol w:w="109"/>
        <w:gridCol w:w="109"/>
        <w:gridCol w:w="392"/>
        <w:gridCol w:w="843"/>
        <w:gridCol w:w="310"/>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provision for income taxes</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for each reporting period consists of the following:</w:t>
      </w:r>
    </w:p>
    <w:tbl>
      <w:tblPr>
        <w:tblW w:w="10098" w:type="dxa"/>
        <w:jc w:val="left"/>
        <w:tblInd w:w="0" w:type="dxa"/>
        <w:tblLayout w:type="fixed"/>
        <w:tblCellMar>
          <w:top w:w="28" w:type="dxa"/>
          <w:left w:w="28" w:type="dxa"/>
          <w:bottom w:w="28" w:type="dxa"/>
          <w:right w:w="28" w:type="dxa"/>
        </w:tblCellMar>
      </w:tblPr>
      <w:tblGrid>
        <w:gridCol w:w="1657"/>
        <w:gridCol w:w="1457"/>
        <w:gridCol w:w="1461"/>
        <w:gridCol w:w="109"/>
        <w:gridCol w:w="109"/>
        <w:gridCol w:w="109"/>
        <w:gridCol w:w="461"/>
        <w:gridCol w:w="779"/>
        <w:gridCol w:w="259"/>
        <w:gridCol w:w="109"/>
        <w:gridCol w:w="109"/>
        <w:gridCol w:w="109"/>
        <w:gridCol w:w="461"/>
        <w:gridCol w:w="779"/>
        <w:gridCol w:w="259"/>
        <w:gridCol w:w="109"/>
        <w:gridCol w:w="109"/>
        <w:gridCol w:w="109"/>
        <w:gridCol w:w="400"/>
        <w:gridCol w:w="830"/>
        <w:gridCol w:w="314"/>
      </w:tblGrid>
      <w:tr>
        <w:trPr/>
        <w:tc>
          <w:tcPr>
            <w:tcW w:w="16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State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income tax expense in various foreign tax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State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income tax expense in various foreign tax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95250"/>
                <wp:effectExtent l="0" t="0" r="0" b="0"/>
                <wp:wrapNone/>
                <wp:docPr id="116" name="Frame11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INCOME TAXES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Deferred Tax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deferred tax assets and liabilities:</w:t>
      </w:r>
    </w:p>
    <w:p>
      <w:pPr>
        <w:pStyle w:val="TextBody"/>
        <w:bidi w:val="0"/>
        <w:spacing w:before="0" w:after="0"/>
        <w:jc w:val="both"/>
        <w:rPr/>
      </w:pPr>
      <w:r>
        <w:rPr/>
      </w:r>
    </w:p>
    <w:tbl>
      <w:tblPr>
        <w:tblW w:w="7001" w:type="dxa"/>
        <w:jc w:val="left"/>
        <w:tblInd w:w="0" w:type="dxa"/>
        <w:tblLayout w:type="fixed"/>
        <w:tblCellMar>
          <w:top w:w="28" w:type="dxa"/>
          <w:left w:w="28" w:type="dxa"/>
          <w:bottom w:w="28" w:type="dxa"/>
          <w:right w:w="28" w:type="dxa"/>
        </w:tblCellMar>
      </w:tblPr>
      <w:tblGrid>
        <w:gridCol w:w="1156"/>
        <w:gridCol w:w="1018"/>
        <w:gridCol w:w="1020"/>
        <w:gridCol w:w="403"/>
        <w:gridCol w:w="868"/>
        <w:gridCol w:w="228"/>
        <w:gridCol w:w="109"/>
        <w:gridCol w:w="109"/>
        <w:gridCol w:w="109"/>
        <w:gridCol w:w="391"/>
        <w:gridCol w:w="890"/>
        <w:gridCol w:w="219"/>
        <w:gridCol w:w="109"/>
        <w:gridCol w:w="109"/>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Deferred tax asset</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and credit carryforwards</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carryforward</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Future tax benefits from TRA payments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Pensions and other post-retirement benefits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Deferred tax liability</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partnership</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liability</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deferred tax asset (liability)</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foreign net operating loss (“NOL”) carryforwards of $10 million. Out of this, $8 million of the foreign NOL carryforwards will expire between 2027 and 2035, and $2 million of the foreign NOL carryforwards have no expiration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 IPO Reorganization, the Company acquired $911 million of U.S. NOL carryforwards. As of December 31, 2025, the Company had U.S. NOL carryforwards of $964 million which have no expiration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Realization of the NOL carryforwards depends on generating sufficient future earnings. An immaterial valuation allowance was recognized as of December 31, 2025 and 2024 to reduce the deferred tax assets associated with NOL carryforwards because the Company does not believe it is more likely than not that these assets will be fully realized prior to expiration.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changes in our deferred tax valuation allowance:</w:t>
      </w:r>
    </w:p>
    <w:p>
      <w:pPr>
        <w:pStyle w:val="TextBody"/>
        <w:bidi w:val="0"/>
        <w:spacing w:before="0" w:after="0"/>
        <w:jc w:val="left"/>
        <w:rPr/>
      </w:pPr>
      <w:r>
        <w:rPr/>
      </w:r>
    </w:p>
    <w:tbl>
      <w:tblPr>
        <w:tblW w:w="7985" w:type="dxa"/>
        <w:jc w:val="left"/>
        <w:tblInd w:w="0" w:type="dxa"/>
        <w:tblLayout w:type="fixed"/>
        <w:tblCellMar>
          <w:top w:w="28" w:type="dxa"/>
          <w:left w:w="28" w:type="dxa"/>
          <w:bottom w:w="28" w:type="dxa"/>
          <w:right w:w="28" w:type="dxa"/>
        </w:tblCellMar>
      </w:tblPr>
      <w:tblGrid>
        <w:gridCol w:w="1010"/>
        <w:gridCol w:w="888"/>
        <w:gridCol w:w="891"/>
        <w:gridCol w:w="412"/>
        <w:gridCol w:w="855"/>
        <w:gridCol w:w="232"/>
        <w:gridCol w:w="109"/>
        <w:gridCol w:w="109"/>
        <w:gridCol w:w="109"/>
        <w:gridCol w:w="412"/>
        <w:gridCol w:w="855"/>
        <w:gridCol w:w="232"/>
        <w:gridCol w:w="109"/>
        <w:gridCol w:w="109"/>
        <w:gridCol w:w="109"/>
        <w:gridCol w:w="399"/>
        <w:gridCol w:w="828"/>
        <w:gridCol w:w="317"/>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the beginning of the period</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Charges to income tax expense</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the end of the period</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unrecognized tax benefits recorded on its Consolidated Balance Sheets as of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95250"/>
                <wp:effectExtent l="0" t="0" r="0" b="0"/>
                <wp:wrapNone/>
                <wp:docPr id="117" name="Frame11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INCOME TAXES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Tax Expense Reconciliation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prospectively adopt the guidance in ASU 2023-09, Income Taxes (Topic 740): Improvements to Income Tax Disclosures (“ASU 2023-09”). The following table is a reconciliation of the U.S. federal statutory rate of 21% to the Company’s effective tax rate in accordance with ASU 2023-09. </w:t>
      </w:r>
    </w:p>
    <w:p>
      <w:pPr>
        <w:pStyle w:val="TextBody"/>
        <w:bidi w:val="0"/>
        <w:spacing w:before="0" w:after="0"/>
        <w:jc w:val="both"/>
        <w:rPr/>
      </w:pPr>
      <w:r>
        <w:rPr/>
      </w:r>
    </w:p>
    <w:tbl>
      <w:tblPr>
        <w:tblW w:w="6657" w:type="dxa"/>
        <w:jc w:val="left"/>
        <w:tblInd w:w="0" w:type="dxa"/>
        <w:tblLayout w:type="fixed"/>
        <w:tblCellMar>
          <w:top w:w="28" w:type="dxa"/>
          <w:left w:w="28" w:type="dxa"/>
          <w:bottom w:w="28" w:type="dxa"/>
          <w:right w:w="28" w:type="dxa"/>
        </w:tblCellMar>
      </w:tblPr>
      <w:tblGrid>
        <w:gridCol w:w="1754"/>
        <w:gridCol w:w="1543"/>
        <w:gridCol w:w="1547"/>
        <w:gridCol w:w="243"/>
        <w:gridCol w:w="522"/>
        <w:gridCol w:w="135"/>
        <w:gridCol w:w="269"/>
        <w:gridCol w:w="271"/>
        <w:gridCol w:w="373"/>
      </w:tblGrid>
      <w:tr>
        <w:trPr/>
        <w:tc>
          <w:tcPr>
            <w:tcW w:w="175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4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at U.S. statutory rate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State and local tax effect, net of federal benefit </w:t>
            </w:r>
            <w:r>
              <w:rPr>
                <w:rFonts w:ascii="Times New Roman;serif" w:hAnsi="Times New Roman;serif"/>
                <w:b w:val="false"/>
                <w:color w:val="000000"/>
                <w:sz w:val="12"/>
              </w:rPr>
              <w:t>(1)</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Statutory income tax rate differential </w:t>
            </w:r>
            <w:r>
              <w:rPr>
                <w:rFonts w:ascii="Times New Roman;serif" w:hAnsi="Times New Roman;serif"/>
                <w:b w:val="false"/>
                <w:color w:val="000000"/>
                <w:sz w:val="12"/>
              </w:rPr>
              <w:t>(2)</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changes in tax laws or rates enacted in the current period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Effects of cross-border tax laws </w:t>
            </w:r>
            <w:r>
              <w:rPr>
                <w:rFonts w:ascii="Times New Roman;serif" w:hAnsi="Times New Roman;serif"/>
                <w:b w:val="false"/>
                <w:color w:val="000000"/>
                <w:sz w:val="12"/>
              </w:rPr>
              <w:t>(3)</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 deductible items</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non-taxable partnership earnings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Income tax expense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During the year ended December 31, 2025, state and local taxes in New York City and Tennessee comprised greater than 50% of the tax effect in this category.</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the impact of the global minimum tax under Pillar Two.</w:t>
      </w:r>
    </w:p>
    <w:p>
      <w:pPr>
        <w:pStyle w:val="TextBody"/>
        <w:bidi w:val="0"/>
        <w:spacing w:lineRule="auto" w:line="288"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GILTI and Subpart F, net of Section 250 deduction and Foreign Tax Credits.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U.S. federal statutory rate of 21% to the Company’s effective tax rate prior to the adoption of ASU 2023-09.</w:t>
      </w:r>
    </w:p>
    <w:p>
      <w:pPr>
        <w:pStyle w:val="TextBody"/>
        <w:bidi w:val="0"/>
        <w:spacing w:before="0" w:after="0"/>
        <w:jc w:val="left"/>
        <w:rPr/>
      </w:pPr>
      <w:r>
        <w:rPr/>
      </w:r>
    </w:p>
    <w:tbl>
      <w:tblPr>
        <w:tblW w:w="6057" w:type="dxa"/>
        <w:jc w:val="left"/>
        <w:tblInd w:w="0" w:type="dxa"/>
        <w:tblLayout w:type="fixed"/>
        <w:tblCellMar>
          <w:top w:w="28" w:type="dxa"/>
          <w:left w:w="28" w:type="dxa"/>
          <w:bottom w:w="28" w:type="dxa"/>
          <w:right w:w="28" w:type="dxa"/>
        </w:tblCellMar>
      </w:tblPr>
      <w:tblGrid>
        <w:gridCol w:w="1091"/>
        <w:gridCol w:w="960"/>
        <w:gridCol w:w="963"/>
        <w:gridCol w:w="403"/>
        <w:gridCol w:w="868"/>
        <w:gridCol w:w="228"/>
        <w:gridCol w:w="443"/>
        <w:gridCol w:w="750"/>
        <w:gridCol w:w="351"/>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at U.S. statutory rate</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rate differential</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holidays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GILTI &amp; Subpart F income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State tax effect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NOL</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 deductible items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tax expense</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can differ from the 21% U.S. federal statutory rate due to a number of factors, including the operating partnership, tax incentives, foreign rate differences, state income taxes, non-deductible expenses, and non-taxable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95250"/>
                <wp:effectExtent l="0" t="0" r="0" b="0"/>
                <wp:wrapNone/>
                <wp:docPr id="118" name="Frame11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INCOME TAXES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paid, net of refunds received, for income taxes consisted of the following:</w:t>
      </w:r>
    </w:p>
    <w:p>
      <w:pPr>
        <w:pStyle w:val="TextBody"/>
        <w:bidi w:val="0"/>
        <w:spacing w:before="0" w:after="0"/>
        <w:jc w:val="both"/>
        <w:rPr/>
      </w:pPr>
      <w:r>
        <w:rPr/>
      </w:r>
    </w:p>
    <w:tbl>
      <w:tblPr>
        <w:tblW w:w="2534" w:type="dxa"/>
        <w:jc w:val="left"/>
        <w:tblInd w:w="0" w:type="dxa"/>
        <w:tblLayout w:type="fixed"/>
        <w:tblCellMar>
          <w:top w:w="28" w:type="dxa"/>
          <w:left w:w="28" w:type="dxa"/>
          <w:bottom w:w="28" w:type="dxa"/>
          <w:right w:w="28" w:type="dxa"/>
        </w:tblCellMar>
      </w:tblPr>
      <w:tblGrid>
        <w:gridCol w:w="358"/>
        <w:gridCol w:w="315"/>
        <w:gridCol w:w="316"/>
        <w:gridCol w:w="444"/>
        <w:gridCol w:w="752"/>
        <w:gridCol w:w="349"/>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Federal </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Territories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Tax Holidays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receives tax holidays as a result of Free Trade Zones in United Arab Emirates, Panama, and the Dominican Republic. The financial impact of the reductions as compared to the statutory tax rate is indicated in the income tax expense reconciliation table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Examinations of Tax Returns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currently files income tax returns in the U.S. and all foreign jurisdictions in which it has entities, which are periodically under audit by federal, state, and foreign tax authorities. As of December 31, 2025, the Company had ongoing audits in the U.S. for tax year 2021 and in Canada, Germany, India, Italy, Vietnam, and other jurisdictions for the tax years 2014 through 2024</w:t>
      </w:r>
      <w:r>
        <w:rPr>
          <w:rFonts w:ascii="sans-serif" w:hAnsi="sans-serif"/>
          <w:b w:val="false"/>
          <w:color w:val="000000"/>
          <w:sz w:val="24"/>
        </w:rPr>
        <w:t xml:space="preserve">. </w:t>
      </w:r>
      <w:r>
        <w:rPr>
          <w:rFonts w:ascii="Times New Roman;serif" w:hAnsi="Times New Roman;serif"/>
          <w:b w:val="false"/>
          <w:color w:val="000000"/>
          <w:sz w:val="20"/>
        </w:rPr>
        <w:t xml:space="preserve">While the final outcome of these matters is inherently uncertain, the Company does not believe that any of these pose a material risk to the consolidated financial statements. During 2025, the Company closed audits in the U.S., India, and Switzerland, with no material adjustments to the Company’s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COMMITMENTS AND CONTINGENCIES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periodic assessment of the potential outcomes of pending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Starting in January 2019, the Company was named as a defendant in mass tort litigation in Cook County, Illinois involving claims by approximately 380 plaintiffs that allege personal injuries associated with the Company’s EtO activities in Lake County, Illinois. In October 2023, the Company agreed to settlement with all but 5 existing plaintiffs. The group settlement was finalized in March 2025 (the “EtO settlements”).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no outstanding liability related to the EtO settlements. As of December 31, 2024, the outstanding liability related to the EtO settlements was $174 million, which was reduced to $166 million in the first quarter of 2025. The reduction in the liability was recorded in Other operating expenses in the Consolidated Statements of Comprehensive Income for the year ended December 31, 2025. In the second quarter of 2025, the Company made total cash payments of $166 million, of which $47 million was released from escrow deposited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95250"/>
                <wp:effectExtent l="0" t="0" r="0" b="0"/>
                <wp:wrapNone/>
                <wp:docPr id="119" name="Frame11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COMMITMENTS AND CONTINGENCIES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no outstanding receivables with the primary insurance carriers for recovery of the EtO settlements. As of December 31, 2024, the Company carried receivables of $10 million related to agreements with the primary insurance carriers for recovery of the EtO settlements. The Company is actively pursuing litigation with its excess insurance carriers related to their obligations to reimburse the Company for substantially all remaining settlement payments in connection with the lawsuits described above. The Company has not recorded a receivable for expected recoveries of the remaining settlement payments from excess insurance carriers as of December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2025, the Company reached a legal settlement related to an intellectual property dispute with a third party and recorded gains of $43 million for the year ended December 31, 2025, in Selling, general and administrative expenses in the Consolidated Statements of Comprehensive Income.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May 2023, the Company received a letter from the San Joaquin County District Attorney's Office, in cooperation with certain other California District Attorneys, notifying the Company of an investigation into alleged violations with respect to the Company’s management and disposal of hazardous waste, medical waste and universal waste at its California facilities.</w:t>
      </w:r>
      <w:r>
        <w:rPr>
          <w:color w:val="000000"/>
        </w:rPr>
        <w:t xml:space="preserve"> </w:t>
      </w:r>
      <w:r>
        <w:rPr>
          <w:rFonts w:ascii="Times New Roman;serif" w:hAnsi="Times New Roman;serif"/>
          <w:b w:val="false"/>
          <w:color w:val="000000"/>
          <w:sz w:val="20"/>
        </w:rPr>
        <w:t>On February 17, 2026, the Company met with the County Attorneys to discuss the matter. While the Company cannot predict the ultimate outcome of this matter, the potential for penalties or settlement costs is likely to exceed $300,000. Although the Company does not believe that this matter will have a material adverse effect on the Company’s consolidated financial statements, the Company can provide no assurance as to the scope and outcome of this matter.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current knowledge and the advice of legal counsel, management believes that the reserve as of December 31, 2025 for other pending matters considered probable of gain or loss contingencies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Unconditional purchase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were $207 million, $274 million and $212 million for the years ended December 31, 2025, 2024 and 2023, respectively</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future payments related to commitments over the next five years and thereafter are as follows:</w:t>
      </w:r>
    </w:p>
    <w:p>
      <w:pPr>
        <w:pStyle w:val="TextBody"/>
        <w:bidi w:val="0"/>
        <w:spacing w:before="0" w:after="0"/>
        <w:jc w:val="both"/>
        <w:rPr/>
      </w:pPr>
      <w:r>
        <w:rPr/>
      </w:r>
    </w:p>
    <w:tbl>
      <w:tblPr>
        <w:tblW w:w="1760" w:type="dxa"/>
        <w:jc w:val="left"/>
        <w:tblInd w:w="0" w:type="dxa"/>
        <w:tblLayout w:type="fixed"/>
        <w:tblCellMar>
          <w:top w:w="28" w:type="dxa"/>
          <w:left w:w="28" w:type="dxa"/>
          <w:bottom w:w="28" w:type="dxa"/>
          <w:right w:w="28" w:type="dxa"/>
        </w:tblCellMar>
      </w:tblPr>
      <w:tblGrid>
        <w:gridCol w:w="358"/>
        <w:gridCol w:w="315"/>
        <w:gridCol w:w="316"/>
        <w:gridCol w:w="196"/>
        <w:gridCol w:w="421"/>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95250"/>
                <wp:effectExtent l="0" t="0" r="0" b="0"/>
                <wp:wrapNone/>
                <wp:docPr id="120" name="Frame11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379" w:type="dxa"/>
        <w:jc w:val="left"/>
        <w:tblInd w:w="0" w:type="dxa"/>
        <w:tblLayout w:type="fixed"/>
        <w:tblCellMar>
          <w:top w:w="28" w:type="dxa"/>
          <w:left w:w="28" w:type="dxa"/>
          <w:bottom w:w="28" w:type="dxa"/>
          <w:right w:w="28" w:type="dxa"/>
        </w:tblCellMar>
      </w:tblPr>
      <w:tblGrid>
        <w:gridCol w:w="441"/>
        <w:gridCol w:w="387"/>
        <w:gridCol w:w="551"/>
      </w:tblGrid>
      <w:tr>
        <w:trPr/>
        <w:tc>
          <w:tcPr>
            <w:tcW w:w="44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MEDLINE INC.</w:t>
            </w:r>
          </w:p>
        </w:tc>
      </w:tr>
      <w:tr>
        <w:trPr/>
        <w:tc>
          <w:tcPr>
            <w:tcW w:w="1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14 - 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descriptions of the valuation methods and assumptions used by the Company to estimate the fair values of investments apply to all investments held directly by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Interest Rate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incorporates credit valuation adjustments to appropriately reflect both the Company’s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December 31, 2025 and 2024 were classified as Level 2 of the fair value hierarchy.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Note 15—Derivatives and Hedging Activities Risk Management for additional information regarding interest rate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Acquisition-Related Contingent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payments related to acquisition-related contingent consideration that required fair value measurement every reporting period. The fair value of the contingent payments was determined using a Monte Carlo simulation model. The significant assumptions used in the Monte Carlo simulation include risk-free rate (4.62%), revenue forecast, revenue discount rate (9.5%), revenue volatility (13%), estimated operational leverage and the Company’s credit spread (3%), most of which are unobservable inputs. These significant unobservable inputs used in the determination of the fair value of the contingent payments classified as Level 3 have an inherent measurement of uncertainty that if changed, could result in higher or lower fair value measurements as of the reporting date. See Note 2—Acquisitions for additional information regarding the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are summarized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9"/>
        <w:gridCol w:w="542"/>
        <w:gridCol w:w="532"/>
        <w:gridCol w:w="751"/>
        <w:gridCol w:w="1557"/>
        <w:gridCol w:w="417"/>
        <w:gridCol w:w="109"/>
        <w:gridCol w:w="109"/>
        <w:gridCol w:w="109"/>
        <w:gridCol w:w="415"/>
        <w:gridCol w:w="860"/>
        <w:gridCol w:w="231"/>
        <w:gridCol w:w="109"/>
        <w:gridCol w:w="109"/>
        <w:gridCol w:w="109"/>
        <w:gridCol w:w="589"/>
        <w:gridCol w:w="1223"/>
        <w:gridCol w:w="330"/>
        <w:gridCol w:w="109"/>
        <w:gridCol w:w="109"/>
        <w:gridCol w:w="109"/>
        <w:gridCol w:w="279"/>
        <w:gridCol w:w="510"/>
        <w:gridCol w:w="229"/>
      </w:tblGrid>
      <w:tr>
        <w:trPr/>
        <w:tc>
          <w:tcPr>
            <w:tcW w:w="75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of fair value measurement</w:t>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val="false"/>
                <w:sz w:val="18"/>
              </w:rPr>
              <w:br/>
            </w:r>
            <w:r>
              <w:rPr>
                <w:color w:val="000000"/>
              </w:rPr>
              <w:t>   </w:t>
            </w:r>
            <w:r>
              <w:rPr>
                <w:rFonts w:ascii="Times New Roman;serif" w:hAnsi="Times New Roman;serif"/>
                <w:b w:val="false"/>
                <w:color w:val="000000"/>
                <w:sz w:val="18"/>
              </w:rPr>
              <w:t xml:space="preserve">Other observable inputs </w:t>
              <w:br/>
              <w:t>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assets</w:t>
            </w:r>
          </w:p>
        </w:tc>
        <w:tc>
          <w:tcPr>
            <w:tcW w:w="2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 Assets</w:t>
            </w:r>
          </w:p>
        </w:tc>
        <w:tc>
          <w:tcPr>
            <w:tcW w:w="2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 (hedge)</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at fair value</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liabilities</w:t>
            </w:r>
          </w:p>
        </w:tc>
        <w:tc>
          <w:tcPr>
            <w:tcW w:w="2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liability</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at fair value</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95250"/>
                <wp:effectExtent l="0" t="0" r="0" b="0"/>
                <wp:wrapNone/>
                <wp:docPr id="121" name="Frame12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119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14 - FAIR VALUE MEASUREMENTS (Continued)</w:t>
      </w:r>
    </w:p>
    <w:tbl>
      <w:tblPr>
        <w:tblW w:w="10205" w:type="dxa"/>
        <w:jc w:val="left"/>
        <w:tblInd w:w="0" w:type="dxa"/>
        <w:tblLayout w:type="fixed"/>
        <w:tblCellMar>
          <w:top w:w="28" w:type="dxa"/>
          <w:left w:w="28" w:type="dxa"/>
          <w:bottom w:w="28" w:type="dxa"/>
          <w:right w:w="28" w:type="dxa"/>
        </w:tblCellMar>
      </w:tblPr>
      <w:tblGrid>
        <w:gridCol w:w="759"/>
        <w:gridCol w:w="542"/>
        <w:gridCol w:w="532"/>
        <w:gridCol w:w="751"/>
        <w:gridCol w:w="1557"/>
        <w:gridCol w:w="417"/>
        <w:gridCol w:w="109"/>
        <w:gridCol w:w="109"/>
        <w:gridCol w:w="109"/>
        <w:gridCol w:w="406"/>
        <w:gridCol w:w="874"/>
        <w:gridCol w:w="226"/>
        <w:gridCol w:w="109"/>
        <w:gridCol w:w="109"/>
        <w:gridCol w:w="109"/>
        <w:gridCol w:w="589"/>
        <w:gridCol w:w="1223"/>
        <w:gridCol w:w="330"/>
        <w:gridCol w:w="109"/>
        <w:gridCol w:w="109"/>
        <w:gridCol w:w="109"/>
        <w:gridCol w:w="256"/>
        <w:gridCol w:w="552"/>
        <w:gridCol w:w="210"/>
      </w:tblGrid>
      <w:tr>
        <w:trPr/>
        <w:tc>
          <w:tcPr>
            <w:tcW w:w="75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of fair value measurement</w:t>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val="false"/>
                <w:sz w:val="18"/>
              </w:rPr>
              <w:br/>
            </w:r>
            <w:r>
              <w:rPr>
                <w:color w:val="000000"/>
              </w:rPr>
              <w:t>   </w:t>
            </w:r>
            <w:r>
              <w:rPr>
                <w:rFonts w:ascii="Times New Roman;serif" w:hAnsi="Times New Roman;serif"/>
                <w:b w:val="false"/>
                <w:color w:val="000000"/>
                <w:sz w:val="18"/>
              </w:rPr>
              <w:t xml:space="preserve">Other observable inputs </w:t>
              <w:br/>
              <w:t>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assets</w:t>
            </w:r>
          </w:p>
        </w:tc>
        <w:tc>
          <w:tcPr>
            <w:tcW w:w="2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 Assets</w:t>
            </w:r>
          </w:p>
        </w:tc>
        <w:tc>
          <w:tcPr>
            <w:tcW w:w="2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 (hedge)</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at fair value</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liabilities</w:t>
            </w:r>
          </w:p>
        </w:tc>
        <w:tc>
          <w:tcPr>
            <w:tcW w:w="2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liability</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at fair value</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Consolidated Balance Sheets and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15 - DERIVATIVES AND HEDGING ACTIVITIES RISK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Risk Management Objective of Using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or foreign currency exchange rates. The Company’s derivative financial instruments are used to manage differences in the amount, timing, and duration of the Company’s known or expected cash receipts and its known or expected cash payments principally related to the Company’s borrowings and acquisitions.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Cash Flow Hedges of Interest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hedges.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the fiscal years 2025, 2024 and 2023, such derivatives were used to hedge the variable cash flows associated with existing variable-rate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reported in Accumulated other comprehensive income (loss) related to derivatives will be reclassified to Interest expense, net, as interest payments are made on the Company’s variable-rate debt. The Company estimates that $34 million will be reclassified as a decrease to interest expense within one year after December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95250"/>
                <wp:effectExtent l="0" t="0" r="0" b="0"/>
                <wp:wrapNone/>
                <wp:docPr id="122" name="Frame12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 DERIVATIVES AND HEDGING ACTIVITIES RISK MANAGEMENT (Continued)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notional amounts of outstanding interest rate derivatives are summarized as follows: </w:t>
      </w:r>
    </w:p>
    <w:p>
      <w:pPr>
        <w:pStyle w:val="TextBody"/>
        <w:bidi w:val="0"/>
        <w:spacing w:before="0" w:after="0"/>
        <w:jc w:val="both"/>
        <w:rPr/>
      </w:pPr>
      <w:r>
        <w:rPr/>
      </w:r>
    </w:p>
    <w:tbl>
      <w:tblPr>
        <w:tblW w:w="9654" w:type="dxa"/>
        <w:jc w:val="left"/>
        <w:tblInd w:w="0" w:type="dxa"/>
        <w:tblLayout w:type="fixed"/>
        <w:tblCellMar>
          <w:top w:w="28" w:type="dxa"/>
          <w:left w:w="28" w:type="dxa"/>
          <w:bottom w:w="28" w:type="dxa"/>
          <w:right w:w="28" w:type="dxa"/>
        </w:tblCellMar>
      </w:tblPr>
      <w:tblGrid>
        <w:gridCol w:w="794"/>
        <w:gridCol w:w="696"/>
        <w:gridCol w:w="700"/>
        <w:gridCol w:w="255"/>
        <w:gridCol w:w="255"/>
        <w:gridCol w:w="256"/>
        <w:gridCol w:w="429"/>
        <w:gridCol w:w="429"/>
        <w:gridCol w:w="431"/>
        <w:gridCol w:w="166"/>
        <w:gridCol w:w="166"/>
        <w:gridCol w:w="166"/>
        <w:gridCol w:w="349"/>
        <w:gridCol w:w="349"/>
        <w:gridCol w:w="351"/>
        <w:gridCol w:w="109"/>
        <w:gridCol w:w="109"/>
        <w:gridCol w:w="109"/>
        <w:gridCol w:w="429"/>
        <w:gridCol w:w="429"/>
        <w:gridCol w:w="431"/>
        <w:gridCol w:w="164"/>
        <w:gridCol w:w="164"/>
        <w:gridCol w:w="164"/>
        <w:gridCol w:w="513"/>
        <w:gridCol w:w="513"/>
        <w:gridCol w:w="728"/>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Currency</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Notional 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Notional 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cash flow hedges</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Nov'2025 to Dec'2026</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Dec'2025 to Dec'2026</w:t>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interest rate swaps with notional value of $1,450 million in 2023, which have matured on November 30, 2025. Additionally, the Company entered into interest rate caps with notional value of $1,000 million in 2023, which took effect on December 31, 2025 and mature on December 31, 2026. All the interest rate contracts are designated as hedges for accounting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contractual terms, the notional amounts of interest rate swaps and interest rate caps each decreased in increments of $500 million on December 31, 2025 and 2024, respectively. The remaining notional amount is set to mature on December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Gains and Losses on Hedging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effect of cash flow hedge accounting on Accumulated other comprehensive income (loss) for each reporting period:</w:t>
      </w:r>
    </w:p>
    <w:tbl>
      <w:tblPr>
        <w:tblW w:w="10205" w:type="dxa"/>
        <w:jc w:val="left"/>
        <w:tblInd w:w="0" w:type="dxa"/>
        <w:tblLayout w:type="fixed"/>
        <w:tblCellMar>
          <w:top w:w="28" w:type="dxa"/>
          <w:left w:w="28" w:type="dxa"/>
          <w:bottom w:w="28" w:type="dxa"/>
          <w:right w:w="28" w:type="dxa"/>
        </w:tblCellMar>
      </w:tblPr>
      <w:tblGrid>
        <w:gridCol w:w="716"/>
        <w:gridCol w:w="615"/>
        <w:gridCol w:w="616"/>
        <w:gridCol w:w="537"/>
        <w:gridCol w:w="537"/>
        <w:gridCol w:w="539"/>
        <w:gridCol w:w="109"/>
        <w:gridCol w:w="109"/>
        <w:gridCol w:w="109"/>
        <w:gridCol w:w="322"/>
        <w:gridCol w:w="322"/>
        <w:gridCol w:w="323"/>
        <w:gridCol w:w="109"/>
        <w:gridCol w:w="109"/>
        <w:gridCol w:w="109"/>
        <w:gridCol w:w="109"/>
        <w:gridCol w:w="109"/>
        <w:gridCol w:w="109"/>
        <w:gridCol w:w="109"/>
        <w:gridCol w:w="109"/>
        <w:gridCol w:w="109"/>
        <w:gridCol w:w="109"/>
        <w:gridCol w:w="334"/>
        <w:gridCol w:w="591"/>
        <w:gridCol w:w="187"/>
        <w:gridCol w:w="109"/>
        <w:gridCol w:w="109"/>
        <w:gridCol w:w="109"/>
        <w:gridCol w:w="334"/>
        <w:gridCol w:w="591"/>
        <w:gridCol w:w="187"/>
        <w:gridCol w:w="109"/>
        <w:gridCol w:w="109"/>
        <w:gridCol w:w="109"/>
        <w:gridCol w:w="291"/>
        <w:gridCol w:w="658"/>
        <w:gridCol w:w="163"/>
        <w:gridCol w:w="109"/>
        <w:gridCol w:w="162"/>
      </w:tblGrid>
      <w:tr>
        <w:trPr/>
        <w:tc>
          <w:tcPr>
            <w:tcW w:w="71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149" w:type="dxa"/>
            <w:gridSpan w:val="14"/>
            <w:tcBorders/>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gridSpan w:val="7"/>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710" w:type="dxa"/>
            <w:gridSpan w:val="8"/>
            <w:tcBorders/>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(loss) recognized in AOCI </w:t>
            </w:r>
          </w:p>
        </w:tc>
        <w:tc>
          <w:tcPr>
            <w:tcW w:w="1613"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61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reclassified from AOCI into earnings</w:t>
            </w:r>
          </w:p>
        </w:tc>
        <w:tc>
          <w:tcPr>
            <w:tcW w:w="1613"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61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change in AOCI</w:t>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gain (loss) reclassed from AOCI into earnings is recorded to Interest expense, net in Consolidated Statements of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derivatives designated as hedges are classified in the same line item as the cash flows of the hedged transaction within operating activities. Cash flows from undesignated derivatives are classified within investing activities.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records both the designated interest rate derivatives and the undesignated derivatives at fair value in the Consolidated Balance Sheets. The respective assets and liabilities are generally classified as short-term or long-term based on the maturity dates of the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95250"/>
                <wp:effectExtent l="0" t="0" r="0" b="0"/>
                <wp:wrapNone/>
                <wp:docPr id="123" name="Frame12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 DERIVATIVES AND HEDGING ACTIVITIES RISK MANAGEMENT (Continued)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classification and fair value of the derivatives for each reporting period:</w:t>
      </w:r>
    </w:p>
    <w:p>
      <w:pPr>
        <w:pStyle w:val="TextBody"/>
        <w:bidi w:val="0"/>
        <w:spacing w:before="0" w:after="0"/>
        <w:jc w:val="both"/>
        <w:rPr/>
      </w:pPr>
      <w:r>
        <w:rPr/>
      </w:r>
    </w:p>
    <w:tbl>
      <w:tblPr>
        <w:tblW w:w="8136" w:type="dxa"/>
        <w:jc w:val="left"/>
        <w:tblInd w:w="0" w:type="dxa"/>
        <w:tblLayout w:type="fixed"/>
        <w:tblCellMar>
          <w:top w:w="28" w:type="dxa"/>
          <w:left w:w="28" w:type="dxa"/>
          <w:bottom w:w="28" w:type="dxa"/>
          <w:right w:w="28" w:type="dxa"/>
        </w:tblCellMar>
      </w:tblPr>
      <w:tblGrid>
        <w:gridCol w:w="988"/>
        <w:gridCol w:w="869"/>
        <w:gridCol w:w="872"/>
        <w:gridCol w:w="569"/>
        <w:gridCol w:w="569"/>
        <w:gridCol w:w="571"/>
        <w:gridCol w:w="109"/>
        <w:gridCol w:w="109"/>
        <w:gridCol w:w="109"/>
        <w:gridCol w:w="461"/>
        <w:gridCol w:w="779"/>
        <w:gridCol w:w="259"/>
        <w:gridCol w:w="109"/>
        <w:gridCol w:w="109"/>
        <w:gridCol w:w="109"/>
        <w:gridCol w:w="392"/>
        <w:gridCol w:w="843"/>
        <w:gridCol w:w="310"/>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cash flow hedges</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designated cash flow hedges</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00" w:after="283"/>
        <w:jc w:val="both"/>
        <w:rPr>
          <w:rFonts w:ascii="Times New Roman;serif" w:hAnsi="Times New Roman;serif"/>
          <w:b/>
          <w:color w:val="000000"/>
          <w:sz w:val="20"/>
        </w:rPr>
      </w:pPr>
      <w:r>
        <w:rPr>
          <w:rFonts w:ascii="Times New Roman;serif" w:hAnsi="Times New Roman;serif"/>
          <w:b/>
          <w:color w:val="000000"/>
          <w:sz w:val="20"/>
        </w:rPr>
        <w:t>NOTE 16 - STOCKHOLDERS’ EQUITY, MEZZANINE EQUITY AND PARTNERS’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the Company completed its IPO and executed the Reorganization that impacted its capital structure. See Note 1—Nature of Business and Significant Accounting Policies for additional information regarding the IPO and Reorganization.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Structure Prior to IPO and Reorganization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Partners’ Capital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Reorganization and the IPO, Medline Holdings had three classes of authorized units: Class A units, Class B CUPIs, and Class B units.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Voting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all three classes of units were limited partners and did not have voting rights (although certain limited partners had certain consent rights as set forth in the Medline Holdings GP, LLC’s Limited Liability Agreement (the “GP LLC Agreement”)). Medline Holdings GP, LLC was the general partner of Medline Holdings. Medline Holdings GP, LLC did not hold any units, and it was authorized to take any action and cause Medline Holdings to take any action, subject to the terms of LP Agreement and the GP LLC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Distributions and liquidations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both distributions (other than tax distributions) and liquidations, the Class A unit holders would receive 100% of the distributions until the Class A unit holders had received cumulative distributions equal to $1.00 per Class A unit.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Second, except for Operating Distributions (as defined in the LP Agreement), 100% of the remainder of the distributions following the distributions to the Class A unit holders would be distributed to the Class B CUPIs holders until the Class B CUPIs holders received cumulative distributions equal to the catch-up amount for such units ($1.00 per Class B CUPI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Third, the remainder of the distributions would be distributed on a pro rata basis (based on the number of units held and subject to vesting and, with respect to Class B units, deemed unit prices) to the Class A unit holders, the Class B CUPIs holders, and the Class B unit holders, subject to the LP Agreement. Net income and net loss of Medline Holdings was allocated in a manner similar to the foregoing distributions pursuant to the GP LLC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rights and privileges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remaining rights and privileges of the holders of all three classes of units were identical.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95250"/>
                <wp:effectExtent l="0" t="0" r="0" b="0"/>
                <wp:wrapNone/>
                <wp:docPr id="124" name="Frame12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STOCKHOLDERS’ EQUITY, MEZZANINE EQUITY AND PARTNERS’ CAPITAL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Class A - Mezzanine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Class A units held by members of management (the “Class A Mezzanine Units”) included a put right that permitted the holders to redeem 50% of their Class A units under conditions outside of the control of the Company. For the periods that management determined it was probable that the Class A Mezzanine Units would become redeemable, the Company had elected to carry the shares at the maximum redemption value, or fair value, in Mezzanine equity on the Consolidated Balance Sheets. During the fourth quarter of 2024, management determined that the redemption was no longer probable, and, therefore, no changes in redemption value were recorded, prospectively. The redemption rights terminated upon the IPO, and Class A Mezzanine Units were reclassed to permanent equity.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 Mezzanine Equity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B CUPIs and Class B units also included a put right that permitted holders to redeem 20% of matured Class B units and 50% of Class B CUPIs under conditions outside of the control of the Company. During the periods when redemption was probable, redeemable units were carried at redemption value, or current intrinsic value, in Mezzanine equity on the Consolidated Balance Sheets. During the fourth quarter of 2024, management determined that the redemption was no longer probable and, therefore, no changes in redemption value were recorded, prospectively. The redemption rights terminated upon the IPO, and the redeemable units were reclassed to permanent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balances of mezzanine equity and partners’ capital for the period prior to Reorganization of January 1, 2025 thru December 16, 2025:</w:t>
      </w:r>
    </w:p>
    <w:p>
      <w:pPr>
        <w:pStyle w:val="TextBody"/>
        <w:bidi w:val="0"/>
        <w:spacing w:before="0" w:after="0"/>
        <w:jc w:val="left"/>
        <w:rPr/>
      </w:pPr>
      <w:r>
        <w:rPr/>
      </w:r>
    </w:p>
    <w:tbl>
      <w:tblPr>
        <w:tblW w:w="13491" w:type="dxa"/>
        <w:jc w:val="left"/>
        <w:tblInd w:w="0" w:type="dxa"/>
        <w:tblLayout w:type="fixed"/>
        <w:tblCellMar>
          <w:top w:w="28" w:type="dxa"/>
          <w:left w:w="28" w:type="dxa"/>
          <w:bottom w:w="28" w:type="dxa"/>
          <w:right w:w="28" w:type="dxa"/>
        </w:tblCellMar>
      </w:tblPr>
      <w:tblGrid>
        <w:gridCol w:w="888"/>
        <w:gridCol w:w="236"/>
        <w:gridCol w:w="212"/>
        <w:gridCol w:w="155"/>
        <w:gridCol w:w="155"/>
        <w:gridCol w:w="156"/>
        <w:gridCol w:w="109"/>
        <w:gridCol w:w="109"/>
        <w:gridCol w:w="109"/>
        <w:gridCol w:w="196"/>
        <w:gridCol w:w="421"/>
        <w:gridCol w:w="109"/>
        <w:gridCol w:w="109"/>
        <w:gridCol w:w="109"/>
        <w:gridCol w:w="109"/>
        <w:gridCol w:w="156"/>
        <w:gridCol w:w="156"/>
        <w:gridCol w:w="154"/>
        <w:gridCol w:w="109"/>
        <w:gridCol w:w="109"/>
        <w:gridCol w:w="109"/>
        <w:gridCol w:w="196"/>
        <w:gridCol w:w="421"/>
        <w:gridCol w:w="109"/>
        <w:gridCol w:w="109"/>
        <w:gridCol w:w="109"/>
        <w:gridCol w:w="109"/>
        <w:gridCol w:w="231"/>
        <w:gridCol w:w="496"/>
        <w:gridCol w:w="129"/>
        <w:gridCol w:w="109"/>
        <w:gridCol w:w="109"/>
        <w:gridCol w:w="109"/>
        <w:gridCol w:w="199"/>
        <w:gridCol w:w="199"/>
        <w:gridCol w:w="203"/>
        <w:gridCol w:w="109"/>
        <w:gridCol w:w="109"/>
        <w:gridCol w:w="109"/>
        <w:gridCol w:w="196"/>
        <w:gridCol w:w="646"/>
        <w:gridCol w:w="109"/>
        <w:gridCol w:w="109"/>
        <w:gridCol w:w="109"/>
        <w:gridCol w:w="109"/>
        <w:gridCol w:w="155"/>
        <w:gridCol w:w="155"/>
        <w:gridCol w:w="156"/>
        <w:gridCol w:w="109"/>
        <w:gridCol w:w="109"/>
        <w:gridCol w:w="109"/>
        <w:gridCol w:w="196"/>
        <w:gridCol w:w="421"/>
        <w:gridCol w:w="109"/>
        <w:gridCol w:w="109"/>
        <w:gridCol w:w="109"/>
        <w:gridCol w:w="109"/>
        <w:gridCol w:w="155"/>
        <w:gridCol w:w="155"/>
        <w:gridCol w:w="156"/>
        <w:gridCol w:w="109"/>
        <w:gridCol w:w="109"/>
        <w:gridCol w:w="109"/>
        <w:gridCol w:w="208"/>
        <w:gridCol w:w="351"/>
        <w:gridCol w:w="117"/>
        <w:gridCol w:w="327"/>
        <w:gridCol w:w="196"/>
        <w:gridCol w:w="646"/>
        <w:gridCol w:w="109"/>
        <w:gridCol w:w="109"/>
        <w:gridCol w:w="109"/>
        <w:gridCol w:w="109"/>
        <w:gridCol w:w="154"/>
      </w:tblGrid>
      <w:tr>
        <w:trPr/>
        <w:tc>
          <w:tcPr>
            <w:tcW w:w="8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4" w:type="dxa"/>
            <w:gridSpan w:val="6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Mezzanine Equity</w:t>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6799"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Partners' Capital</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Mezzanine Equity</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CUPI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Total Partners’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2025</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prior to reorganization transactions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partners prior to reorganization transactions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 from liability-classified units prior to reorganization transactions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repurchased prior to reorganization transactions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prior to reorganization transactions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December 16, 2025</w:t>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Reflects Partners’ Capital, net of Accumulated other comprehensive income.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Equity Structure After IPO and Reorganization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authorizes three classes of ownership interests: 50,000,000,000 shares of Class A common stock, par value $0.0001 per share, 50,000,000,000 shares of Class B common stock, par value $0.0001 per share, and 5,000,000,000 shares of Preferred stock, par value $0.0001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95250"/>
                <wp:effectExtent l="0" t="0" r="0" b="0"/>
                <wp:wrapNone/>
                <wp:docPr id="125" name="Frame12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STOCKHOLDERS’ EQUITY, MEZZANINE EQUITY AND PARTNERS’ CAPITAL (Continued)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Class A common stock have both voting and economic rights. Holders of Class A common stock are entitled to one vote for each share of Class A common stock held. Shares of Class A common stock are entitled to dividends and pro rata distribution of remaining available assets upon liquidation. Shares of Class A common stock do not have preemptive, subscription, redemption or conversion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B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have voting but no economic rights. Holders of Class B common stock are entitled to one vote for each share of Class B common stock held. Shares of Class B common stock do not have any right to receive dividends or distribution upon liquidation.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of Class B common stock, together with the transfer of an identical number of Common Units, are convertible at the option of the holder into shares of Class A common stock on a one-for-one basis, subject to customary conversion rate adjustments for stock splits, stock dividends and reclassifications. Upon conversion, the shares of Class B common stock will be automatically canceled and no longer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without the approval of its stockholders, one or more series of preferred stock. The Board may determine, with respect to any series of preferred stock, the powers, including voting powers, preferences and relative, participating, optional or other special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Noncontrolling interests represent Common Units and vested Incentive Units held by pre-IPO owners. These Common Units are not attributable to the controlling Class A common stock ownership of Medline Inc. The noncontrolling interests were accounted for as permanent equity on the Consolidated Balance Sheets. Net income is reduced by the portion of net income attributable to noncontrolling interests. The conversions into Class A common stock of Class B common stock and Common Units are considered equity transactions and will result in a change in ownership and reduce the amount recorded as noncontrolling interests and increase additional paid-in capital in the Company’s Consolidated Balance Sheets.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 in the balance of Accumulated other comprehensive income (loss) by component and in total:</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0"/>
        <w:gridCol w:w="743"/>
        <w:gridCol w:w="674"/>
        <w:gridCol w:w="522"/>
        <w:gridCol w:w="1122"/>
        <w:gridCol w:w="293"/>
        <w:gridCol w:w="109"/>
        <w:gridCol w:w="109"/>
        <w:gridCol w:w="109"/>
        <w:gridCol w:w="404"/>
        <w:gridCol w:w="898"/>
        <w:gridCol w:w="226"/>
        <w:gridCol w:w="109"/>
        <w:gridCol w:w="109"/>
        <w:gridCol w:w="109"/>
        <w:gridCol w:w="464"/>
        <w:gridCol w:w="606"/>
        <w:gridCol w:w="259"/>
        <w:gridCol w:w="109"/>
        <w:gridCol w:w="109"/>
        <w:gridCol w:w="109"/>
        <w:gridCol w:w="567"/>
        <w:gridCol w:w="960"/>
        <w:gridCol w:w="456"/>
      </w:tblGrid>
      <w:tr>
        <w:trPr/>
        <w:tc>
          <w:tcPr>
            <w:tcW w:w="103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5821" w:type="dxa"/>
            <w:gridSpan w:val="18"/>
            <w:tcBorders/>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2025</w:t>
            </w:r>
          </w:p>
        </w:tc>
        <w:tc>
          <w:tcPr>
            <w:tcW w:w="5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 (loss)</w:t>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Effect of the reorganization transactions</w:t>
            </w:r>
          </w:p>
        </w:tc>
        <w:tc>
          <w:tcPr>
            <w:tcW w:w="1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95250"/>
                <wp:effectExtent l="0" t="0" r="0" b="0"/>
                <wp:wrapNone/>
                <wp:docPr id="126" name="Frame12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STOCKHOLDERS’ EQUITY, MEZZANINE EQUITY AND PARTNERS’ CAPITAL (Continued)</w:t>
      </w:r>
    </w:p>
    <w:tbl>
      <w:tblPr>
        <w:tblW w:w="10205" w:type="dxa"/>
        <w:jc w:val="left"/>
        <w:tblInd w:w="0" w:type="dxa"/>
        <w:tblLayout w:type="fixed"/>
        <w:tblCellMar>
          <w:top w:w="28" w:type="dxa"/>
          <w:left w:w="28" w:type="dxa"/>
          <w:bottom w:w="28" w:type="dxa"/>
          <w:right w:w="28" w:type="dxa"/>
        </w:tblCellMar>
      </w:tblPr>
      <w:tblGrid>
        <w:gridCol w:w="1030"/>
        <w:gridCol w:w="743"/>
        <w:gridCol w:w="674"/>
        <w:gridCol w:w="522"/>
        <w:gridCol w:w="1122"/>
        <w:gridCol w:w="293"/>
        <w:gridCol w:w="109"/>
        <w:gridCol w:w="109"/>
        <w:gridCol w:w="109"/>
        <w:gridCol w:w="404"/>
        <w:gridCol w:w="898"/>
        <w:gridCol w:w="226"/>
        <w:gridCol w:w="109"/>
        <w:gridCol w:w="109"/>
        <w:gridCol w:w="109"/>
        <w:gridCol w:w="476"/>
        <w:gridCol w:w="586"/>
        <w:gridCol w:w="267"/>
        <w:gridCol w:w="109"/>
        <w:gridCol w:w="109"/>
        <w:gridCol w:w="109"/>
        <w:gridCol w:w="502"/>
        <w:gridCol w:w="1077"/>
        <w:gridCol w:w="404"/>
      </w:tblGrid>
      <w:tr>
        <w:trPr/>
        <w:tc>
          <w:tcPr>
            <w:tcW w:w="103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5821" w:type="dxa"/>
            <w:gridSpan w:val="18"/>
            <w:tcBorders/>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2024</w:t>
            </w:r>
          </w:p>
        </w:tc>
        <w:tc>
          <w:tcPr>
            <w:tcW w:w="5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4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loss</w:t>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0"/>
        <w:gridCol w:w="743"/>
        <w:gridCol w:w="674"/>
        <w:gridCol w:w="522"/>
        <w:gridCol w:w="1122"/>
        <w:gridCol w:w="293"/>
        <w:gridCol w:w="109"/>
        <w:gridCol w:w="109"/>
        <w:gridCol w:w="109"/>
        <w:gridCol w:w="458"/>
        <w:gridCol w:w="811"/>
        <w:gridCol w:w="258"/>
        <w:gridCol w:w="109"/>
        <w:gridCol w:w="109"/>
        <w:gridCol w:w="109"/>
        <w:gridCol w:w="476"/>
        <w:gridCol w:w="586"/>
        <w:gridCol w:w="267"/>
        <w:gridCol w:w="109"/>
        <w:gridCol w:w="109"/>
        <w:gridCol w:w="109"/>
        <w:gridCol w:w="502"/>
        <w:gridCol w:w="1077"/>
        <w:gridCol w:w="405"/>
      </w:tblGrid>
      <w:tr>
        <w:trPr/>
        <w:tc>
          <w:tcPr>
            <w:tcW w:w="103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5821" w:type="dxa"/>
            <w:gridSpan w:val="18"/>
            <w:tcBorders/>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2023</w:t>
            </w:r>
          </w:p>
        </w:tc>
        <w:tc>
          <w:tcPr>
            <w:tcW w:w="5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2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4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(loss) income</w:t>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2023</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15—Derivatives and Hedging Activities Risk Management for additional information regarding hedging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17 - 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expense as a component of Selling, general and administrative expenses and the following table reflects the stock-based compensation expense in the Consolidated Statements of Comprehensive Income for the years ended December 31, 2025, 2024 and 2023.</w:t>
      </w:r>
    </w:p>
    <w:tbl>
      <w:tblPr>
        <w:tblW w:w="7502" w:type="dxa"/>
        <w:jc w:val="center"/>
        <w:tblInd w:w="0" w:type="dxa"/>
        <w:tblLayout w:type="fixed"/>
        <w:tblCellMar>
          <w:top w:w="28" w:type="dxa"/>
          <w:left w:w="28" w:type="dxa"/>
          <w:bottom w:w="28" w:type="dxa"/>
          <w:right w:w="28" w:type="dxa"/>
        </w:tblCellMar>
      </w:tblPr>
      <w:tblGrid>
        <w:gridCol w:w="365"/>
        <w:gridCol w:w="320"/>
        <w:gridCol w:w="320"/>
        <w:gridCol w:w="320"/>
        <w:gridCol w:w="320"/>
        <w:gridCol w:w="334"/>
        <w:gridCol w:w="109"/>
        <w:gridCol w:w="109"/>
        <w:gridCol w:w="109"/>
        <w:gridCol w:w="461"/>
        <w:gridCol w:w="779"/>
        <w:gridCol w:w="259"/>
        <w:gridCol w:w="109"/>
        <w:gridCol w:w="109"/>
        <w:gridCol w:w="109"/>
        <w:gridCol w:w="461"/>
        <w:gridCol w:w="779"/>
        <w:gridCol w:w="259"/>
        <w:gridCol w:w="109"/>
        <w:gridCol w:w="109"/>
        <w:gridCol w:w="109"/>
        <w:gridCol w:w="443"/>
        <w:gridCol w:w="750"/>
        <w:gridCol w:w="351"/>
      </w:tblGrid>
      <w:tr>
        <w:trPr/>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97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197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Equity-classified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Liability-classified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Equity-classified awards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Prior to IPO and Reorganization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Holdings had two classes of incentive units, Class B units and Class B CUPIs (“Holdings Incentive Units”) that were granted to certain employees and vested upon satisfaction of one or multiple market, performance, and/or service conditions of each award. In accordance with ASC 718, “Compensation - Stock Compensation” (“ASC 718”), all incentive units officially granted represent ownership interests and are classified as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Participants in the Medline Industries, Inc. Managing Partner Program (“MPU”) were entitled to receive a liquidity event payout amount (the “Liquidity MPU Payout”) upon the change-of-control transaction in 2021. All MPU participants were granted the opportunity, pursuant to a reinvestment election agreement, to waive receipt of a portion of their Liquidity MPU Payout in exchange for Class B CUPIs. The Company recorded $217 million of compensation expense related to Liquidity MPU Payouts for the year ended December 31, 2023, as a component of Selling, general and administrative expenses, and no expense for the years ended December 31, 2025 and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95250"/>
                <wp:effectExtent l="0" t="0" r="0" b="0"/>
                <wp:wrapNone/>
                <wp:docPr id="127" name="Frame12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17 - STOCK-BASED COMPENSATION (Continued)</w:t>
      </w:r>
    </w:p>
    <w:p>
      <w:pPr>
        <w:pStyle w:val="TextBody"/>
        <w:bidi w:val="0"/>
        <w:spacing w:lineRule="auto" w:line="288" w:before="0" w:after="0"/>
        <w:jc w:val="both"/>
        <w:rPr/>
      </w:pPr>
      <w:r>
        <w:rPr>
          <w:rFonts w:ascii="Times New Roman;serif" w:hAnsi="Times New Roman;serif"/>
          <w:b w:val="false"/>
          <w:color w:val="000000"/>
          <w:sz w:val="20"/>
        </w:rPr>
        <w:t>All of the Holdings Incentive Units included a put right that permitted the holders to redeem certain units under conditions outside of the control of the Company. The redemption rights terminated upon the IPO, and the redeemable units were reclassed to permanent equity. See Note 16—Stockholders’ Equity, Mezzanine Equity and Partners’ Capital</w:t>
      </w:r>
      <w:r>
        <w:rPr>
          <w:color w:val="000000"/>
        </w:rPr>
        <w:t xml:space="preserve"> </w:t>
      </w:r>
      <w:r>
        <w:rPr>
          <w:rFonts w:ascii="Times New Roman;serif" w:hAnsi="Times New Roman;serif"/>
          <w:b w:val="false"/>
          <w:color w:val="000000"/>
          <w:sz w:val="20"/>
        </w:rPr>
        <w:t>for additional information of the mezzanine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Class B CUPIs were vested by fiscal year 2023. Total fair value of Class B CUPI units vested during the year ended December 31, 2023 was $13 million. The Class B units were subject to a five-year vesting period, with 20% of units vesting on each of the five anniversaries of the grant date. The weighted-average grant-date fair value of Class B units granted during the years ended December 31, 2024 and 2023 was $0.49 and $0.36, respectively. Total fair value of Class B units vested during the years ended December 31, 2025, 2024, and 2023, were $50 million, $39 million, and $45 million, respectively. The following table summarizes the Class B Units activity during the year ended December 31, 2025:</w:t>
      </w:r>
    </w:p>
    <w:p>
      <w:pPr>
        <w:pStyle w:val="TextBody"/>
        <w:bidi w:val="0"/>
        <w:spacing w:before="0" w:after="0"/>
        <w:jc w:val="both"/>
        <w:rPr/>
      </w:pPr>
      <w:r>
        <w:rPr/>
      </w:r>
    </w:p>
    <w:tbl>
      <w:tblPr>
        <w:tblW w:w="7158" w:type="dxa"/>
        <w:jc w:val="left"/>
        <w:tblInd w:w="0" w:type="dxa"/>
        <w:tblLayout w:type="fixed"/>
        <w:tblCellMar>
          <w:top w:w="28" w:type="dxa"/>
          <w:left w:w="28" w:type="dxa"/>
          <w:bottom w:w="28" w:type="dxa"/>
          <w:right w:w="28" w:type="dxa"/>
        </w:tblCellMar>
      </w:tblPr>
      <w:tblGrid>
        <w:gridCol w:w="1020"/>
        <w:gridCol w:w="898"/>
        <w:gridCol w:w="902"/>
        <w:gridCol w:w="561"/>
        <w:gridCol w:w="564"/>
        <w:gridCol w:w="366"/>
        <w:gridCol w:w="629"/>
        <w:gridCol w:w="1496"/>
        <w:gridCol w:w="350"/>
        <w:gridCol w:w="109"/>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Class B Units</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2024</w:t>
            </w:r>
          </w:p>
        </w:tc>
        <w:tc>
          <w:tcPr>
            <w:tcW w:w="11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429,007,732 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3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62,943,267 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(144,877,004)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(4,562,775)</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the Reorganization and IPO</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(342,511,220)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11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of Holdings Incentive Units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Holdings Incentive Units is calculated using the Monte Carlo simulation in an option pricing framework, where the total equity value was evolved over a period from the grant date to the expected liquidity date. Prior to the IPO, in the absence of a public trading market, the Company exercised significant judgment and considered numerous objectives and subjective factors to determine the fair value of equity-based awards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Relevant precedent transactions involving equity units;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operating and financial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Current business conditions and projections;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market performance of comparable publicly traded companies;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 and global capital market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assumptions were made in the Monte Carlo simulation.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Expected Term:</w:t>
      </w:r>
      <w:r>
        <w:rPr>
          <w:color w:val="000000"/>
        </w:rPr>
        <w:t xml:space="preserve"> </w:t>
      </w:r>
      <w:r>
        <w:rPr>
          <w:rFonts w:ascii="Times New Roman;serif" w:hAnsi="Times New Roman;serif"/>
          <w:b w:val="false"/>
          <w:color w:val="000000"/>
          <w:sz w:val="20"/>
        </w:rPr>
        <w:t>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Volatility:</w:t>
      </w:r>
      <w:r>
        <w:rPr>
          <w:color w:val="000000"/>
        </w:rPr>
        <w:t xml:space="preserve"> </w:t>
      </w:r>
      <w:r>
        <w:rPr>
          <w:rFonts w:ascii="Times New Roman;serif" w:hAnsi="Times New Roman;serif"/>
          <w:b w:val="false"/>
          <w:color w:val="000000"/>
          <w:sz w:val="20"/>
        </w:rPr>
        <w:t xml:space="preserve">Expected volatility is a measure of the amount by which the equity value is expected to fluctuate. The Company estimates the expected volatility by assessing the equity volatility of guideline companies.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Risk-Free Interest Rate:</w:t>
      </w:r>
      <w:r>
        <w:rPr>
          <w:color w:val="000000"/>
        </w:rPr>
        <w:t xml:space="preserve"> </w:t>
      </w:r>
      <w:r>
        <w:rPr>
          <w:rFonts w:ascii="Times New Roman;serif" w:hAnsi="Times New Roman;serif"/>
          <w:b w:val="false"/>
          <w:color w:val="000000"/>
          <w:sz w:val="20"/>
        </w:rPr>
        <w:t>The risk-free interest rate is estimated based on U.S. Treasury zero-coupon notes with terms consistent with the expected term of the awards.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Dividend Yield:</w:t>
      </w:r>
      <w:r>
        <w:rPr>
          <w:color w:val="000000"/>
        </w:rPr>
        <w:t xml:space="preserve"> </w:t>
      </w:r>
      <w:r>
        <w:rPr>
          <w:rFonts w:ascii="Times New Roman;serif" w:hAnsi="Times New Roman;serif"/>
          <w:b w:val="false"/>
          <w:color w:val="000000"/>
          <w:sz w:val="20"/>
        </w:rPr>
        <w:t>The Company has never declared or paid any cash dividends and does not presently plan to pay cash dividends in the foreseeable future. Consequently, the Company used an expected dividend yield of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95250"/>
                <wp:effectExtent l="0" t="0" r="0" b="0"/>
                <wp:wrapNone/>
                <wp:docPr id="128" name="Frame12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17 - STOCK-BASED COMPENSATION (Continued)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weighted-average inputs for expected term, volatility, risk-free interest rate, and dividend yield that were utilized by the Company in its Monte Carlo simulation for awards granted during 2021 through 2025:</w:t>
      </w:r>
    </w:p>
    <w:p>
      <w:pPr>
        <w:pStyle w:val="TextBody"/>
        <w:bidi w:val="0"/>
        <w:spacing w:before="0" w:after="0"/>
        <w:jc w:val="both"/>
        <w:rPr/>
      </w:pPr>
      <w:r>
        <w:rPr/>
      </w:r>
    </w:p>
    <w:tbl>
      <w:tblPr>
        <w:tblW w:w="3148" w:type="dxa"/>
        <w:jc w:val="center"/>
        <w:tblInd w:w="0" w:type="dxa"/>
        <w:tblLayout w:type="fixed"/>
        <w:tblCellMar>
          <w:top w:w="28" w:type="dxa"/>
          <w:left w:w="28" w:type="dxa"/>
          <w:bottom w:w="28" w:type="dxa"/>
          <w:right w:w="28" w:type="dxa"/>
        </w:tblCellMar>
      </w:tblPr>
      <w:tblGrid>
        <w:gridCol w:w="669"/>
        <w:gridCol w:w="585"/>
        <w:gridCol w:w="590"/>
        <w:gridCol w:w="374"/>
        <w:gridCol w:w="374"/>
        <w:gridCol w:w="556"/>
      </w:tblGrid>
      <w:tr>
        <w:trPr/>
        <w:tc>
          <w:tcPr>
            <w:tcW w:w="66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3.6 to 6.0</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1.2% to 4.6%</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35.0% to 48.0%</w:t>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Post-IPO Incentive Plan and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Omnibus Incentive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 adopted the Medline Inc. 2025 Omnibus Incentive Plan (the “Omnibus Plan”), which became effective on the date of the IPO. The Omnibus Plan provides for potential grants of the following awards: (i) stock options, (ii) stock appreciation rights, (iii) restricted stock awards; (iv) other stock-based awards, and (v) other cash-based awards. The Company initially reserved 60 million shares of Class A common stock for the issuance of awards under the Omnibus Plan. Starting in 2026, the number of shares available for issuance under the Omnibus Plan will be increased automatically on January 1 of each fiscal year, by a number of shares of the Company’s Class A common stock equal to the least of (i) 54 million shares of Class A common stock; (ii) 4% of the total number of shares of Class A common stock outstanding on the last day of the immediately preceding fiscal year, and (iii) a lower number of shares as may be determined by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 of Holdings Incentive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and Reorganization, the Holdings Incentive Unit awards issued prior to the IPO were reclassified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Continuing Unitholders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time-vesting Class B units held by certain pre-IPO holders of Class B units (the “Continuing Unitholders”) were reclassified into vested Incentive Units, in the case of vested Class B units, and unvested Incentive Units, in the case of unvested Class B units, in Medline Holdings. These Incentive Units retain the vesting attributes of the Class B units reclassified, including original service period vesting start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performance-vesting Class B units were reclassified into unvested Incentive Units. At the IPO date, management concluded that the IPO caused the achievement of respective performance conditions to be probable. As such, the Company recorded $5 million compensation expense for the year ending December 31, 2025 and will record the remaining compensation expense through the end of respective service requisite periods.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Class B CUPIs were reclassified to vested Common Units in Medline Holdings.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Incentive Units was the same immediately prior to and after the reclassification; therefore, no incremental expense related to the reclassification was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95250"/>
                <wp:effectExtent l="0" t="0" r="0" b="0"/>
                <wp:wrapNone/>
                <wp:docPr id="129" name="Frame12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17 - STOCK-BASED COMPENSATION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fair value of Incentive Units vested during the year ended December 31, 2025 was $2 million. As of December 31, 2025, there was $49 million of unrecognized compensation cost related to Incentive Units, which is expected to be recognized on a graded or straight-line basis over a weighted-average period of 1.1 years. The following table summarizes the information about Class B units in Medline Holdings that were reclassified to Incentive Units in Medline Holdings:</w:t>
      </w:r>
    </w:p>
    <w:p>
      <w:pPr>
        <w:pStyle w:val="TextBody"/>
        <w:bidi w:val="0"/>
        <w:spacing w:before="0" w:after="0"/>
        <w:jc w:val="both"/>
        <w:rPr/>
      </w:pPr>
      <w:r>
        <w:rPr/>
      </w:r>
    </w:p>
    <w:tbl>
      <w:tblPr>
        <w:tblW w:w="8451" w:type="dxa"/>
        <w:jc w:val="left"/>
        <w:tblInd w:w="0" w:type="dxa"/>
        <w:tblLayout w:type="fixed"/>
        <w:tblCellMar>
          <w:top w:w="28" w:type="dxa"/>
          <w:left w:w="28" w:type="dxa"/>
          <w:bottom w:w="28" w:type="dxa"/>
          <w:right w:w="28" w:type="dxa"/>
        </w:tblCellMar>
      </w:tblPr>
      <w:tblGrid>
        <w:gridCol w:w="1659"/>
        <w:gridCol w:w="1454"/>
        <w:gridCol w:w="1462"/>
        <w:gridCol w:w="480"/>
        <w:gridCol w:w="481"/>
        <w:gridCol w:w="396"/>
        <w:gridCol w:w="605"/>
        <w:gridCol w:w="1439"/>
        <w:gridCol w:w="475"/>
      </w:tblGrid>
      <w:tr>
        <w:trPr/>
        <w:tc>
          <w:tcPr>
            <w:tcW w:w="165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Incentive Units</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the Reorganization and IPO as of December 17, 2025</w:t>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17,056,431 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(339,388)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(2,178,225)</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14,538,818 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Exchanging Unitholders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Holdings Incentive Units and Class A units held by participants other than Continuing Unitholders (the “Exchanging Unitholders”) were exchanged for vested Class A common stock and RSUs, in the case of Class A units and Class B CUPIs, and vested Class A common stock, RSUs, RSAs, and options, in the case of Class B units, in the Company. The RSAs, RSUs, and options will vest according to the same vesting schedule as the corresponding Class B units, in respect of which they are being granted, except that no awards will vest until the later of the date that is 180 days following the IPO and the existing vesting date of the underlying Class B units. This modification resulted in the re-measurement of the awards in accordance with ASC 718. Total compensation cost for the modified awards equaled the grant date fair value of the pre-IPO awards, plus any incremental compensation cost measured at the modification date (i.e. the IPO date). The change in fair value of these awards prior to and after the reclassification was not material. The modification impacted 68 participants.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RSAs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$13 million of unrecognized compensation cost related to RSAs, which is expected to be recognized on a graded or straight-line basis over a weighted-average period of 1.4 years. The following table summarizes the RSAs activity during the year ended December 31, 2025:</w:t>
      </w:r>
    </w:p>
    <w:p>
      <w:pPr>
        <w:pStyle w:val="TextBody"/>
        <w:bidi w:val="0"/>
        <w:spacing w:before="0" w:after="0"/>
        <w:jc w:val="both"/>
        <w:rPr/>
      </w:pPr>
      <w:r>
        <w:rPr/>
      </w:r>
    </w:p>
    <w:tbl>
      <w:tblPr>
        <w:tblW w:w="8387" w:type="dxa"/>
        <w:jc w:val="left"/>
        <w:tblInd w:w="0" w:type="dxa"/>
        <w:tblLayout w:type="fixed"/>
        <w:tblCellMar>
          <w:top w:w="28" w:type="dxa"/>
          <w:left w:w="28" w:type="dxa"/>
          <w:bottom w:w="28" w:type="dxa"/>
          <w:right w:w="28" w:type="dxa"/>
        </w:tblCellMar>
      </w:tblPr>
      <w:tblGrid>
        <w:gridCol w:w="1659"/>
        <w:gridCol w:w="1454"/>
        <w:gridCol w:w="1462"/>
        <w:gridCol w:w="435"/>
        <w:gridCol w:w="436"/>
        <w:gridCol w:w="421"/>
        <w:gridCol w:w="545"/>
        <w:gridCol w:w="1547"/>
        <w:gridCol w:w="428"/>
      </w:tblGrid>
      <w:tr>
        <w:trPr/>
        <w:tc>
          <w:tcPr>
            <w:tcW w:w="165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Restricted Stock</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the Reorganization and IPO as of December 17, 2025</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1,982,467 </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(23,810)</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1,958,657 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95250"/>
                <wp:effectExtent l="0" t="0" r="0" b="0"/>
                <wp:wrapNone/>
                <wp:docPr id="130" name="Frame12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17 - STOCK-BASED COMPENSATION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RSUs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$5 million of unrecognized compensation cost related to unvested RSUs, which is expected to be recognized on a graded or straight-line basis over a weighted-average period of 1.2 years. The following table summarizes the RSUs activity during the year ended December 31, 2025:</w:t>
      </w:r>
    </w:p>
    <w:p>
      <w:pPr>
        <w:pStyle w:val="TextBody"/>
        <w:bidi w:val="0"/>
        <w:spacing w:before="0" w:after="0"/>
        <w:jc w:val="both"/>
        <w:rPr/>
      </w:pPr>
      <w:r>
        <w:rPr/>
      </w:r>
    </w:p>
    <w:tbl>
      <w:tblPr>
        <w:tblW w:w="8789" w:type="dxa"/>
        <w:jc w:val="left"/>
        <w:tblInd w:w="0" w:type="dxa"/>
        <w:tblLayout w:type="fixed"/>
        <w:tblCellMar>
          <w:top w:w="28" w:type="dxa"/>
          <w:left w:w="28" w:type="dxa"/>
          <w:bottom w:w="28" w:type="dxa"/>
          <w:right w:w="28" w:type="dxa"/>
        </w:tblCellMar>
      </w:tblPr>
      <w:tblGrid>
        <w:gridCol w:w="1659"/>
        <w:gridCol w:w="1454"/>
        <w:gridCol w:w="1462"/>
        <w:gridCol w:w="564"/>
        <w:gridCol w:w="564"/>
        <w:gridCol w:w="566"/>
        <w:gridCol w:w="545"/>
        <w:gridCol w:w="1547"/>
        <w:gridCol w:w="428"/>
      </w:tblGrid>
      <w:tr>
        <w:trPr/>
        <w:tc>
          <w:tcPr>
            <w:tcW w:w="165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the Reorganization and IPO as of December 17, 2025</w:t>
            </w:r>
          </w:p>
        </w:tc>
        <w:tc>
          <w:tcPr>
            <w:tcW w:w="11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513,450 </w:t>
            </w:r>
          </w:p>
        </w:tc>
        <w:tc>
          <w:tcPr>
            <w:tcW w:w="5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523,795 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Options issued entitle the holder to future purchases of Class A common stock and are exercisable up to the tenth anniversary of the grant date. As of December 31, 2025, there was $24 million of unrecognized compensation cost related to options, which is expected to be recognized on a graded or straight-line basis over a weighted-average period of 1.5 years. The following table summarizes option activity during the year ended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9"/>
        <w:gridCol w:w="893"/>
        <w:gridCol w:w="898"/>
        <w:gridCol w:w="435"/>
        <w:gridCol w:w="436"/>
        <w:gridCol w:w="297"/>
        <w:gridCol w:w="372"/>
        <w:gridCol w:w="1056"/>
        <w:gridCol w:w="206"/>
        <w:gridCol w:w="309"/>
        <w:gridCol w:w="879"/>
        <w:gridCol w:w="172"/>
        <w:gridCol w:w="604"/>
        <w:gridCol w:w="604"/>
        <w:gridCol w:w="606"/>
        <w:gridCol w:w="406"/>
        <w:gridCol w:w="684"/>
        <w:gridCol w:w="329"/>
      </w:tblGrid>
      <w:tr>
        <w:trPr/>
        <w:tc>
          <w:tcPr>
            <w:tcW w:w="101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Wtd. Avg. Exercise Price</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Average Remaining Contractual Term</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years)</w:t>
            </w:r>
          </w:p>
        </w:tc>
        <w:tc>
          <w:tcPr>
            <w:tcW w:w="14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Aggregate Intrinsic Value</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r>
      <w:tr>
        <w:trPr/>
        <w:tc>
          <w:tcPr>
            <w:tcW w:w="28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the Reorganization and IPO as of December 17, 2025</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6,770,442 </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6,770,442 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as of December 31, 2025</w:t>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Expected to vest as of December 31, 2025</w:t>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6,770,442 </w:t>
            </w:r>
          </w:p>
        </w:tc>
        <w:tc>
          <w:tcPr>
            <w:tcW w:w="2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cumulative difference between the closing price of Class A common stock on December 31, 2025 and the option exercise prices.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the Black-Scholes option pricing model to determine the fair value of stock options at the grant date. The use of a valuation model for the stock options requires management to make certain assumptions with respect to selected model inputs. The dividend yield was based on the Company’s expected dividend rate. The expected term to maturity was based on the weighted-average vesting terms and contractual terms of the awards. The risk-free interest rate was based on U.S. Treasury rates commensurate with the expected life of the award. Expected volatility was calculated based on the observed volatility for comparable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95250"/>
                <wp:effectExtent l="0" t="0" r="0" b="0"/>
                <wp:wrapNone/>
                <wp:docPr id="131" name="Frame13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129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17 - STOCK-BASED COMPENSATION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weighted average fair value of options granted during 2025 and the related assumptions used in the Black-Scholes option pricing model:</w:t>
      </w:r>
    </w:p>
    <w:p>
      <w:pPr>
        <w:pStyle w:val="TextBody"/>
        <w:bidi w:val="0"/>
        <w:spacing w:before="0" w:after="0"/>
        <w:jc w:val="both"/>
        <w:rPr/>
      </w:pPr>
      <w:r>
        <w:rPr/>
      </w:r>
    </w:p>
    <w:tbl>
      <w:tblPr>
        <w:tblW w:w="4468" w:type="dxa"/>
        <w:jc w:val="left"/>
        <w:tblInd w:w="0" w:type="dxa"/>
        <w:tblLayout w:type="fixed"/>
        <w:tblCellMar>
          <w:top w:w="28" w:type="dxa"/>
          <w:left w:w="28" w:type="dxa"/>
          <w:bottom w:w="28" w:type="dxa"/>
          <w:right w:w="28" w:type="dxa"/>
        </w:tblCellMar>
      </w:tblPr>
      <w:tblGrid>
        <w:gridCol w:w="1210"/>
        <w:gridCol w:w="1063"/>
        <w:gridCol w:w="1071"/>
        <w:gridCol w:w="209"/>
        <w:gridCol w:w="594"/>
        <w:gridCol w:w="321"/>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fair value of options issued</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Assumptions used:</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5.1 to 6.5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3.7% to 3.8%</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Liability-classified awards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Liability-classified awards are presented in Other long-term liabilities on the Consolidated Balance Sheets. The fair value of these awards is determined using the same technique and assumptions as the Holdings Incentive Units, and the Company reevaluates the fair value of these liability-classified awards periodically until they are reclassified as equity when granted, with the fair value change recorded ratably in the current-period compensation expense. For the years ended December 31, 2025 and 2024, the Company reclassified liabilities of $10 million and $9 million, respectively, to equity.</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Prior to Reorganization and IPO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years 2025, 2024, and 2023, Medline Holdings authorized Class B units to be granted to certain employees upon fulfillment of certain performance conditions. With each grant, the number of Class B units to be issued and the grant date fair value of the award are dependent on the performance targets achieved and Medline Holdings’ equity value, and will be determined on the official grant date. The Class B units are subject to a five-year service vesting period, with 20% of units vesting on each of the five anniversaries from the official grant date. The award is classified as a liability in accordance with ASC 718 until the official grant date, when it will be reclassified as equity.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years 2025 and 2024, upon fulfillment of the performance conditions, 50,659,004 Class B units with a fair value of $0.58 per unit and 67,794,018 Class B Units with a fair value of $0.47 per unit, respectively, were legally granted.</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IPO and Reorganization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time of IPO, the liability-classified awards authorized in the first quarter of fiscal year 2025 were not yet granted and classified as a liability (“2025 Awards”). Both the underlying equity instrument and the vesting condition were modified upon the IPO. At the achievement of certain performance targets, the 2025 Awards will be settled into RSUs with the same economic value of the equivalent Class B units. At the time of settlement into RSUs, 25% of the 2025 Awards will vest after 180 days post IPO while the remaining 75% of the 2025 Awards will vest on each of the three anniversaries from the official grant date. 2025 Awards continues to be classified as liability until the official grant date, when it will be reclassified as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number of RSUs probable to be issued is 566,029, with fair value of $24 million. As of December 31, 2025, there was $13 million of unrecognized compensation cost related to liability-classified awards, which is expected to be recognized on a graded basis over a weighted-average period of 1.2 years. The amount of unrecognized compensation cost for liability-classified awards will fluctuate over time as they are marked to market. The final value of the liability-classified awards is contingent upon the Company's actual performance against the performance targets.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18 - NET INCOME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net income prior to the IPO was entirely allocable to partners of Medline Holdings. As a result of the Reorganization and IPO, the Company’s capital structure before and after IPO are not comparable, and the presentation of net income per share for the periods prior to the IPO is not meaningful and not presented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95250"/>
                <wp:effectExtent l="0" t="0" r="0" b="0"/>
                <wp:wrapNone/>
                <wp:docPr id="132" name="Frame13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130</w:t>
                      </w:r>
                    </w:p>
                  </w:txbxContent>
                </v:textbox>
                <w10:wrap type="none"/>
              </v:rect>
            </w:pict>
          </mc:Fallback>
        </mc:AlternateContent>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18 - NET INCOME (LOSS) PER SHARE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computes net income (loss) per share of Class A common stock using the two-class method required for participating securities. Shares of Class B common stock are not considered participating securities because they have no right to receive dividends, no right to receive distribution on liquidation or winding up of Medline Inc. and no earnings or losses are allocable to such class. Therefore, basic and diluted net income (loss) per share of Class B common stock has not been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the Company’s stockholders is computed by dividing net income (loss) attributable to the Company by the weighted-average number of Class A common stock outstanding during the period. Diluted net income (loss) per share attributable to the Company gives effect to all potential shares of Class A common stock, including conversion of Class B common stock, conversion of Medline Holdings Incentive Units, liability-classified stock awards, stock options, RSAs, and RSUs to the extent these are 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loss per share of Class A common stock:</w:t>
      </w:r>
    </w:p>
    <w:p>
      <w:pPr>
        <w:pStyle w:val="TextBody"/>
        <w:bidi w:val="0"/>
        <w:spacing w:before="0" w:after="0"/>
        <w:jc w:val="both"/>
        <w:rPr/>
      </w:pPr>
      <w:r>
        <w:rPr/>
      </w:r>
    </w:p>
    <w:tbl>
      <w:tblPr>
        <w:tblW w:w="9223" w:type="dxa"/>
        <w:jc w:val="center"/>
        <w:tblInd w:w="0" w:type="dxa"/>
        <w:tblLayout w:type="fixed"/>
        <w:tblCellMar>
          <w:top w:w="28" w:type="dxa"/>
          <w:left w:w="28" w:type="dxa"/>
          <w:bottom w:w="28" w:type="dxa"/>
          <w:right w:w="28" w:type="dxa"/>
        </w:tblCellMar>
      </w:tblPr>
      <w:tblGrid>
        <w:gridCol w:w="1713"/>
        <w:gridCol w:w="1507"/>
        <w:gridCol w:w="1519"/>
        <w:gridCol w:w="986"/>
        <w:gridCol w:w="2723"/>
        <w:gridCol w:w="775"/>
      </w:tblGrid>
      <w:tr>
        <w:trPr/>
        <w:tc>
          <w:tcPr>
            <w:tcW w:w="171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number of shares and per share amounts)</w:t>
            </w:r>
          </w:p>
        </w:tc>
        <w:tc>
          <w:tcPr>
            <w:tcW w:w="4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Period from December 17, 2025 through December 31, 2025</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loss per share:</w:t>
            </w:r>
          </w:p>
        </w:tc>
        <w:tc>
          <w:tcPr>
            <w:tcW w:w="4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3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Medline Inc.</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net loss attributable to Medline Inc.</w:t>
            </w:r>
          </w:p>
        </w:tc>
        <w:tc>
          <w:tcPr>
            <w:tcW w:w="3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net loss per share</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number of Class A common stock outstanding</w:t>
            </w:r>
          </w:p>
        </w:tc>
        <w:tc>
          <w:tcPr>
            <w:tcW w:w="3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809,688,877 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loss per share</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4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outstanding shares of potentially dilutive securities excluded from the calculation of diluted net income (loss) per share because including them would have had an anti-dilutive effect, or issuance of such shares is contingent upon the satisfaction of certain conditions which were not satisfied at the end of the respective period:</w:t>
      </w:r>
    </w:p>
    <w:p>
      <w:pPr>
        <w:pStyle w:val="TextBody"/>
        <w:bidi w:val="0"/>
        <w:spacing w:before="0" w:after="0"/>
        <w:jc w:val="left"/>
        <w:rPr/>
      </w:pPr>
      <w:r>
        <w:rPr/>
      </w:r>
    </w:p>
    <w:tbl>
      <w:tblPr>
        <w:tblW w:w="6555" w:type="dxa"/>
        <w:jc w:val="left"/>
        <w:tblInd w:w="0" w:type="dxa"/>
        <w:tblLayout w:type="fixed"/>
        <w:tblCellMar>
          <w:top w:w="28" w:type="dxa"/>
          <w:left w:w="28" w:type="dxa"/>
          <w:bottom w:w="28" w:type="dxa"/>
          <w:right w:w="28" w:type="dxa"/>
        </w:tblCellMar>
      </w:tblPr>
      <w:tblGrid>
        <w:gridCol w:w="748"/>
        <w:gridCol w:w="658"/>
        <w:gridCol w:w="664"/>
        <w:gridCol w:w="1313"/>
        <w:gridCol w:w="1313"/>
        <w:gridCol w:w="1859"/>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Period from December 17, 2025 through December 31, 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2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502,045,878 </w:t>
            </w:r>
          </w:p>
        </w:tc>
        <w:tc>
          <w:tcPr>
            <w:tcW w:w="18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RSAs</w:t>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1,958,657 </w:t>
            </w:r>
          </w:p>
        </w:tc>
        <w:tc>
          <w:tcPr>
            <w:tcW w:w="1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2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523,795 </w:t>
            </w:r>
          </w:p>
        </w:tc>
        <w:tc>
          <w:tcPr>
            <w:tcW w:w="18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6,770,442 </w:t>
            </w:r>
          </w:p>
        </w:tc>
        <w:tc>
          <w:tcPr>
            <w:tcW w:w="1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units</w:t>
            </w:r>
          </w:p>
        </w:tc>
        <w:tc>
          <w:tcPr>
            <w:tcW w:w="2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41,788,894 </w:t>
            </w:r>
          </w:p>
        </w:tc>
        <w:tc>
          <w:tcPr>
            <w:tcW w:w="18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Liability-classified awards</w:t>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566,029 </w:t>
            </w:r>
          </w:p>
        </w:tc>
        <w:tc>
          <w:tcPr>
            <w:tcW w:w="1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anti-dilutive securities</w:t>
            </w:r>
          </w:p>
        </w:tc>
        <w:tc>
          <w:tcPr>
            <w:tcW w:w="26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553,653,695 </w:t>
            </w:r>
          </w:p>
        </w:tc>
        <w:tc>
          <w:tcPr>
            <w:tcW w:w="18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95250"/>
                <wp:effectExtent l="0" t="0" r="0" b="0"/>
                <wp:wrapNone/>
                <wp:docPr id="133" name="Frame13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131</w:t>
                      </w:r>
                    </w:p>
                  </w:txbxContent>
                </v:textbox>
                <w10:wrap type="none"/>
              </v:rect>
            </w:pict>
          </mc:Fallback>
        </mc:AlternateContent>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19 - RELATED PARTY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Credit Agreements and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long-term debts held by certain affiliates of the Company’s private equity sponsors. The terms of these debts are identical to all other debts issued. See Note 7—Credit Agreements and Borrowings for additional information on the long-term debt. </w:t>
      </w:r>
    </w:p>
    <w:p>
      <w:pPr>
        <w:pStyle w:val="TextBody"/>
        <w:bidi w:val="0"/>
        <w:spacing w:before="0" w:after="0"/>
        <w:jc w:val="both"/>
        <w:rPr/>
      </w:pPr>
      <w:r>
        <w:rPr/>
      </w:r>
    </w:p>
    <w:tbl>
      <w:tblPr>
        <w:tblW w:w="8666" w:type="dxa"/>
        <w:jc w:val="center"/>
        <w:tblInd w:w="0" w:type="dxa"/>
        <w:tblLayout w:type="fixed"/>
        <w:tblCellMar>
          <w:top w:w="28" w:type="dxa"/>
          <w:left w:w="28" w:type="dxa"/>
          <w:bottom w:w="28" w:type="dxa"/>
          <w:right w:w="28" w:type="dxa"/>
        </w:tblCellMar>
      </w:tblPr>
      <w:tblGrid>
        <w:gridCol w:w="1917"/>
        <w:gridCol w:w="1686"/>
        <w:gridCol w:w="1692"/>
        <w:gridCol w:w="537"/>
        <w:gridCol w:w="661"/>
        <w:gridCol w:w="301"/>
        <w:gridCol w:w="109"/>
        <w:gridCol w:w="109"/>
        <w:gridCol w:w="109"/>
        <w:gridCol w:w="511"/>
        <w:gridCol w:w="630"/>
        <w:gridCol w:w="404"/>
      </w:tblGrid>
      <w:tr>
        <w:trPr/>
        <w:tc>
          <w:tcPr>
            <w:tcW w:w="191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 and other short-term borrowing</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borrowings, less current portion</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and the IPO, the Company has entered into a TRA with certain of its pre-IPO owners. Among these pre-IPO owners are individuals and entities classified as related parties of the Company; consequently, transactions pertaining to the TRA are regarded as related party transactions in relation to these individuals and entities. See Note 11—Tax Receivable Agreement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other significant transactions with related parties during the periods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20 -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described further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Medline Brand segment procures and manufactures products from three product categories - Surgical Solutions, Front Line Care, and Laboratory &amp; Diagnostics. This segment provides its products to domestic and international consumers.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 over 1,300 third-party suppliers, the Company sells products across a large number of product groups to the entire continuum of care and, as a result, it is impracticable to provide segment information at the product group level for Supply Chain Solutions.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organizational structure also includes Corporate &amp; Other which consists of expenses related to centralized corporate functions, such as finance, information technology, legal, human resources, and internal audit.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95250"/>
                <wp:effectExtent l="0" t="0" r="0" b="0"/>
                <wp:wrapNone/>
                <wp:docPr id="134" name="Frame13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132</w:t>
                      </w:r>
                    </w:p>
                  </w:txbxContent>
                </v:textbox>
                <w10:wrap type="none"/>
              </v:rect>
            </w:pict>
          </mc:Fallback>
        </mc:AlternateContent>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20 - SEGMENT INFORMATION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the Company’s financial condition and results of operations across periods by removing the impact of items that management believes do not directly reflect the ongoing operating performance. The Segment Adjusted EBITDA is utilized during the budgeting and forecasting process to assess profitability and enable decision making regarding strategic initiatives, capital expenditures, and work force for both segments. 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are the difference between each operating segment’s revenue and Segment Adjusted EBITDA. All the segment data disclosed reflects the way the CODM internally receives information and monitors the segment performance and is consistently presented across all public communications.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financial information by segment:</w:t>
      </w:r>
    </w:p>
    <w:p>
      <w:pPr>
        <w:pStyle w:val="TextBody"/>
        <w:bidi w:val="0"/>
        <w:spacing w:before="0" w:after="0"/>
        <w:jc w:val="both"/>
        <w:rPr/>
      </w:pPr>
      <w:r>
        <w:rPr/>
      </w:r>
    </w:p>
    <w:tbl>
      <w:tblPr>
        <w:tblW w:w="9581" w:type="dxa"/>
        <w:jc w:val="left"/>
        <w:tblInd w:w="0" w:type="dxa"/>
        <w:tblLayout w:type="fixed"/>
        <w:tblCellMar>
          <w:top w:w="28" w:type="dxa"/>
          <w:left w:w="28" w:type="dxa"/>
          <w:bottom w:w="28" w:type="dxa"/>
          <w:right w:w="28" w:type="dxa"/>
        </w:tblCellMar>
      </w:tblPr>
      <w:tblGrid>
        <w:gridCol w:w="1270"/>
        <w:gridCol w:w="1118"/>
        <w:gridCol w:w="1122"/>
        <w:gridCol w:w="109"/>
        <w:gridCol w:w="109"/>
        <w:gridCol w:w="109"/>
        <w:gridCol w:w="109"/>
        <w:gridCol w:w="109"/>
        <w:gridCol w:w="109"/>
        <w:gridCol w:w="309"/>
        <w:gridCol w:w="1019"/>
        <w:gridCol w:w="172"/>
        <w:gridCol w:w="109"/>
        <w:gridCol w:w="109"/>
        <w:gridCol w:w="109"/>
        <w:gridCol w:w="309"/>
        <w:gridCol w:w="1019"/>
        <w:gridCol w:w="172"/>
        <w:gridCol w:w="109"/>
        <w:gridCol w:w="109"/>
        <w:gridCol w:w="109"/>
        <w:gridCol w:w="309"/>
        <w:gridCol w:w="1019"/>
        <w:gridCol w:w="172"/>
        <w:gridCol w:w="109"/>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4" w:type="dxa"/>
            <w:gridSpan w:val="20"/>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Net sales to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Front Line Care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Surgical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and Diagnostics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13,720 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net sales to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25,507 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23,231 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Inventory-related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gains (charges),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Transaction-related costs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non-core charges, net </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acquisition and integration related costs, IPO related costs, gain related to acquisition of equity investment, gain due to a change in valuation estimate related to an acquisition, and the compensation expense related to the Liquidity MPU Payouts. See Note 17—Stock-Based Compensation for additional information on Liquidity MPU Payouts.</w:t>
      </w:r>
    </w:p>
    <w:p>
      <w:pPr>
        <w:pStyle w:val="TextBody"/>
        <w:bidi w:val="0"/>
        <w:spacing w:lineRule="auto" w:line="288"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Represents loss on debt extinguishment and other refinancing costs and fees, credit loss expense related to customer bankruptcies, loss on disposals of assets and exits, realized and unrealized foreign currency and investment losses and costs, and other items.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95250"/>
                <wp:effectExtent l="0" t="0" r="0" b="0"/>
                <wp:wrapNone/>
                <wp:docPr id="135" name="Frame13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133</w:t>
                      </w:r>
                    </w:p>
                  </w:txbxContent>
                </v:textbox>
                <w10:wrap type="none"/>
              </v:rect>
            </w:pict>
          </mc:Fallback>
        </mc:AlternateContent>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20 - SEGMENT INFORMATION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information by sales office and geographic area: </w:t>
      </w:r>
    </w:p>
    <w:p>
      <w:pPr>
        <w:pStyle w:val="TextBody"/>
        <w:bidi w:val="0"/>
        <w:spacing w:before="0" w:after="0"/>
        <w:jc w:val="both"/>
        <w:rPr/>
      </w:pPr>
      <w:r>
        <w:rPr/>
      </w:r>
    </w:p>
    <w:tbl>
      <w:tblPr>
        <w:tblW w:w="9310" w:type="dxa"/>
        <w:jc w:val="left"/>
        <w:tblInd w:w="0" w:type="dxa"/>
        <w:tblLayout w:type="fixed"/>
        <w:tblCellMar>
          <w:top w:w="28" w:type="dxa"/>
          <w:left w:w="28" w:type="dxa"/>
          <w:bottom w:w="28" w:type="dxa"/>
          <w:right w:w="28" w:type="dxa"/>
        </w:tblCellMar>
      </w:tblPr>
      <w:tblGrid>
        <w:gridCol w:w="1172"/>
        <w:gridCol w:w="1032"/>
        <w:gridCol w:w="1035"/>
        <w:gridCol w:w="109"/>
        <w:gridCol w:w="109"/>
        <w:gridCol w:w="109"/>
        <w:gridCol w:w="109"/>
        <w:gridCol w:w="109"/>
        <w:gridCol w:w="109"/>
        <w:gridCol w:w="309"/>
        <w:gridCol w:w="1019"/>
        <w:gridCol w:w="172"/>
        <w:gridCol w:w="109"/>
        <w:gridCol w:w="109"/>
        <w:gridCol w:w="109"/>
        <w:gridCol w:w="309"/>
        <w:gridCol w:w="1019"/>
        <w:gridCol w:w="172"/>
        <w:gridCol w:w="109"/>
        <w:gridCol w:w="109"/>
        <w:gridCol w:w="109"/>
        <w:gridCol w:w="309"/>
        <w:gridCol w:w="1019"/>
        <w:gridCol w:w="172"/>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4" w:type="dxa"/>
            <w:gridSpan w:val="20"/>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Net sales to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Acute care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Non-Acute care </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26,479 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23,747 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21,800 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 to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25,507 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23,231 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Acute care represents hospital health systems. </w:t>
      </w:r>
    </w:p>
    <w:p>
      <w:pPr>
        <w:pStyle w:val="TextBody"/>
        <w:bidi w:val="0"/>
        <w:spacing w:lineRule="auto" w:line="288" w:before="0" w:after="0"/>
        <w:ind w:left="0" w:right="0" w:hanging="1"/>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Non-Acute care represents other sites of care including outpatient, post acute, physician’s office, surgery centers, and all other.</w:t>
      </w:r>
    </w:p>
    <w:p>
      <w:pPr>
        <w:pStyle w:val="TextBody"/>
        <w:bidi w:val="0"/>
        <w:spacing w:before="0" w:after="0"/>
        <w:jc w:val="both"/>
        <w:rPr/>
      </w:pPr>
      <w:r>
        <w:rPr/>
      </w:r>
    </w:p>
    <w:tbl>
      <w:tblPr>
        <w:tblW w:w="6700" w:type="dxa"/>
        <w:jc w:val="left"/>
        <w:tblInd w:w="0" w:type="dxa"/>
        <w:tblLayout w:type="fixed"/>
        <w:tblCellMar>
          <w:top w:w="28" w:type="dxa"/>
          <w:left w:w="28" w:type="dxa"/>
          <w:bottom w:w="28" w:type="dxa"/>
          <w:right w:w="28" w:type="dxa"/>
        </w:tblCellMar>
      </w:tblPr>
      <w:tblGrid>
        <w:gridCol w:w="1203"/>
        <w:gridCol w:w="1057"/>
        <w:gridCol w:w="1069"/>
        <w:gridCol w:w="341"/>
        <w:gridCol w:w="969"/>
        <w:gridCol w:w="190"/>
        <w:gridCol w:w="109"/>
        <w:gridCol w:w="109"/>
        <w:gridCol w:w="109"/>
        <w:gridCol w:w="334"/>
        <w:gridCol w:w="948"/>
        <w:gridCol w:w="262"/>
      </w:tblGrid>
      <w:tr>
        <w:trPr/>
        <w:tc>
          <w:tcPr>
            <w:tcW w:w="120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u w:val="single"/>
              </w:rPr>
              <w:t xml:space="preserve">Long-lived assets by geographical area </w:t>
            </w:r>
            <w:r>
              <w:rPr>
                <w:rFonts w:ascii="Times New Roman;serif" w:hAnsi="Times New Roman;serif"/>
                <w:b/>
                <w:color w:val="000000"/>
                <w:sz w:val="12"/>
              </w:rPr>
              <w:t>(1)</w:t>
            </w:r>
            <w:r>
              <w:rPr>
                <w:rFonts w:ascii="Times New Roman;serif" w:hAnsi="Times New Roman;serif"/>
                <w:b/>
                <w:color w:val="000000"/>
                <w:sz w:val="18"/>
              </w:rPr>
              <w:t>:</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long-lived assets, net</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4,979 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Includes property, plant, and equipment, net, and operating lease right-of-use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21 -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its consolidated financial statements for subsequent events through February 25, 2026, the date the consolidated financial statements were available to be issued.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95250"/>
                <wp:effectExtent l="0" t="0" r="0" b="0"/>
                <wp:wrapNone/>
                <wp:docPr id="136" name="Frame13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with the participation of the Company’s principal executive officer and principal financial officer, has evaluated the effectiveness of our disclosure controls and procedures, as defined in Rules 13a-15(e) and 15d-15(e) under the Exchange Act, as of the end of the period covered by this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that evaluation, the Company’s principal executive officer and principal financial officer concluded that, as of the end of the period covered by this Annual Report, the Company’s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does not include a report of management’s assessments regarding internal controls over financial reporting or an attestation report of our independent registered public accounting firm due to a transition period established by the rules of the SEC for newly public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controls over financial reporting identified in connection with the evaluation required by Rules 13a-15(d) and 15d-15(d) of the Exchange Act during the quarter ended December 31, 2025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Limitations on Effectiveness of Controls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Trading Plan Arrangements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December 31, 2025, none of our directors or officers (as defined in Rule 16a-1(f) of the Exchange Act) adopted or terminated a "Rule 10b5-1 trading arrangement" or a "non-Rule 10b5-1 trading arrangement" as such terms are defined under Item 408 of Regulation S-K.</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95250"/>
                <wp:effectExtent l="0" t="0" r="0" b="0"/>
                <wp:wrapNone/>
                <wp:docPr id="137" name="Frame13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Designation of Principal Accounting Officer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24, 2026, our Board of Directors designated Jessi L. Corcoran, our Chief Accounting Officer, as our principal accounting officer, effective as of February 24, 2026. Ms. Corcoran assumes the designation of principal accounting officer from Michael B. Drazin, who continues in his capacity as our Chief Financial Officer and principal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Ms. Corcoran, age 43, has served as our Chief Accounting Officer since November 2025. Prior to joining the Company, she served in a series of senior accounting roles at JBT Marel Corporation (formerly JBT Corporation), a global technology solutions and service provider to the food and beverage industry, from June 2015 through November 2025, most recently serving as Chief Accounting Officer beginning August 2018. Prior to JBT Marel Corporation, she worked in the Audit &amp; Assurance practice at Deloitte for nine years, with increasing levels of responsibility through senior manager. Ms. Corcoran received her B.S. in Accounting from the University of Arizona.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Ms. Corcoran was not selected pursuant to any arrangement or understanding between her and any other person. Ms. Corcoran has no familial relationships with any of our directors or executive officers, and there are no transactions between Ms. Corcoran and the Company that would require disclosure under Item 404(a)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meeting of stockholders to be filed with the SEC within 120 days after the end of our fiscal year covered by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meeting of stockholders to be filed with the SEC within 120 days after the end of our fiscal year covered by this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meeting of stockholders to be filed with the SEC within 120 days after the end of our fiscal year covered by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meeting of stockholders to be filed with the SEC within 120 days after the end of our fiscal year covered by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meeting of stockholders to be filed with the SEC within 120 days after the end of our fiscal year covered by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95250"/>
                <wp:effectExtent l="0" t="0" r="0" b="0"/>
                <wp:wrapNone/>
                <wp:docPr id="138" name="Frame13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(a)(1) Financial Statements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listed in the “Index to the Consolidated Financial Statements” under Part II, Item 8 of this Annual Report.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(a)(2) Financial Statement Schedules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All other schedules are omitted because they are not applicable, not required, or because the required information is otherwise included in the consolidated financial statements or Notes thereto.</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(a)(3)     Exhibits.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exhibits listed below are filed or furnished, as applicable, as part of this Annual Report and are incorporated herein by reference, in each case as indicated below. </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39"/>
        <w:gridCol w:w="2636"/>
        <w:gridCol w:w="375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9127"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751" w:type="dxa"/>
            <w:gridSpan w:val="3"/>
            <w:tcBorders/>
            <w:tcMar>
              <w:top w:w="0" w:type="dxa"/>
              <w:left w:w="0" w:type="dxa"/>
              <w:bottom w:w="0" w:type="dxa"/>
              <w:right w:w="0" w:type="dxa"/>
            </w:tcMar>
            <w:vAlign w:val="center"/>
          </w:tcPr>
          <w:p>
            <w:pPr>
              <w:pStyle w:val="TableContents"/>
              <w:bidi w:val="0"/>
              <w:spacing w:lineRule="auto" w:line="333" w:before="0" w:after="0"/>
              <w:jc w:val="both"/>
              <w:rPr/>
            </w:pPr>
            <w:r>
              <w:rPr>
                <w:rFonts w:ascii="Times New Roman;serif" w:hAnsi="Times New Roman;serif"/>
                <w:b/>
                <w:color w:val="000000"/>
                <w:sz w:val="20"/>
              </w:rPr>
              <w:t>Exhibit</w:t>
            </w:r>
            <w:r>
              <w:rPr>
                <w:rFonts w:ascii="Times New Roman;serif" w:hAnsi="Times New Roman;serif"/>
                <w:b w:val="false"/>
                <w:color w:val="000000"/>
                <w:sz w:val="20"/>
              </w:rPr>
              <w:br/>
            </w: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27"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pPr>
            <w:hyperlink r:id="rId3">
              <w:r>
                <w:rPr>
                  <w:rStyle w:val="InternetLink"/>
                  <w:rFonts w:ascii="Times New Roman;serif" w:hAnsi="Times New Roman;serif"/>
                  <w:b w:val="false"/>
                  <w:color w:val="000080"/>
                  <w:sz w:val="20"/>
                  <w:u w:val="single"/>
                </w:rPr>
                <w:t>Amended and Restated Certificate of Incorporation of the Registrant</w:t>
              </w:r>
            </w:hyperlink>
            <w:hyperlink r:id="rId4">
              <w:r>
                <w:rPr>
                  <w:rStyle w:val="InternetLink"/>
                  <w:rFonts w:ascii="Times New Roman;serif" w:hAnsi="Times New Roman;serif"/>
                  <w:b w:val="false"/>
                  <w:color w:val="000080"/>
                  <w:sz w:val="20"/>
                  <w:u w:val="single"/>
                </w:rPr>
                <w:t xml:space="preserve"> (incorporated by reference to Exhibit 3.1 to the Registrant’s Current Report on Form 8-K filed on December 22, 2025)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2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5">
              <w:r>
                <w:rPr>
                  <w:rStyle w:val="InternetLink"/>
                  <w:rFonts w:ascii="Times New Roman;serif" w:hAnsi="Times New Roman;serif"/>
                  <w:b w:val="false"/>
                  <w:color w:val="000080"/>
                  <w:sz w:val="20"/>
                  <w:u w:val="single"/>
                </w:rPr>
                <w:t>A</w:t>
              </w:r>
            </w:hyperlink>
            <w:hyperlink r:id="rId6">
              <w:r>
                <w:rPr>
                  <w:rStyle w:val="InternetLink"/>
                  <w:rFonts w:ascii="Times New Roman;serif" w:hAnsi="Times New Roman;serif"/>
                  <w:b w:val="false"/>
                  <w:color w:val="000080"/>
                  <w:sz w:val="20"/>
                  <w:u w:val="single"/>
                </w:rPr>
                <w:t>mended and Restated Bylaws of the Registrant</w:t>
              </w:r>
            </w:hyperlink>
            <w:hyperlink r:id="rId7">
              <w:r>
                <w:rPr>
                  <w:rStyle w:val="InternetLink"/>
                  <w:rFonts w:ascii="Times New Roman;serif" w:hAnsi="Times New Roman;serif"/>
                  <w:b w:val="false"/>
                  <w:color w:val="000080"/>
                  <w:sz w:val="20"/>
                  <w:u w:val="single"/>
                </w:rPr>
                <w:t xml:space="preserve"> (incorporated by reference to Exhibit 3.2 to the Registrant’s Current Report on Form 8-K filed on December 22, 2025)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2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8">
              <w:r>
                <w:rPr>
                  <w:rStyle w:val="InternetLink"/>
                  <w:rFonts w:ascii="Times New Roman;serif" w:hAnsi="Times New Roman;serif"/>
                  <w:b w:val="false"/>
                  <w:color w:val="000080"/>
                  <w:sz w:val="20"/>
                  <w:u w:val="single"/>
                </w:rPr>
                <w:t>Indenture, dated as of October  15, 2021, by and between Mozart Debt Merger Sub Inc. and Wilmington Trust, National Association as trustee, paying agent, transfer agent and registrar</w:t>
              </w:r>
            </w:hyperlink>
            <w:hyperlink r:id="rId9">
              <w:r>
                <w:rPr>
                  <w:rStyle w:val="InternetLink"/>
                  <w:rFonts w:ascii="Times New Roman;serif" w:hAnsi="Times New Roman;serif"/>
                  <w:b w:val="false"/>
                  <w:color w:val="000080"/>
                  <w:sz w:val="20"/>
                  <w:u w:val="single"/>
                </w:rPr>
                <w:t xml:space="preserve"> (incorporated by reference to Exhibit 4.1 to the Registrant’s Registration Statement on Form S-1 filed on October 28, 2025)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2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10">
              <w:r>
                <w:rPr>
                  <w:rStyle w:val="InternetLink"/>
                  <w:rFonts w:ascii="Times New Roman;serif" w:hAnsi="Times New Roman;serif"/>
                  <w:b w:val="false"/>
                  <w:color w:val="000080"/>
                  <w:sz w:val="20"/>
                  <w:u w:val="single"/>
                </w:rPr>
                <w:t>First Supplemental Indenture, dated as of October  21, 2021, among each of the subsidiaries of Medline Borrower, LP listed thereto and Wilmington Trust, National Association, as trustee</w:t>
              </w:r>
            </w:hyperlink>
            <w:hyperlink r:id="rId11">
              <w:r>
                <w:rPr>
                  <w:rStyle w:val="InternetLink"/>
                  <w:rFonts w:ascii="Times New Roman;serif" w:hAnsi="Times New Roman;serif"/>
                  <w:b w:val="false"/>
                  <w:color w:val="000080"/>
                  <w:sz w:val="20"/>
                  <w:u w:val="single"/>
                </w:rPr>
                <w:t xml:space="preserve"> (incorporated by reference to Exhibit 4.2 to the Registrant’s Registration Statement on Form S-1 filed on October 28, 2025)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2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12">
              <w:r>
                <w:rPr>
                  <w:rStyle w:val="InternetLink"/>
                  <w:rFonts w:ascii="Times New Roman;serif" w:hAnsi="Times New Roman;serif"/>
                  <w:b w:val="false"/>
                  <w:color w:val="000080"/>
                  <w:sz w:val="20"/>
                  <w:u w:val="single"/>
                </w:rPr>
                <w:t>Second Supplemental Indenture, dated as of July  19, 2024, among each of the subsidiaries of Medline Borrower, LP listed thereto and Wilmington Trust, National Association, as trustee</w:t>
              </w:r>
            </w:hyperlink>
            <w:hyperlink r:id="rId13">
              <w:r>
                <w:rPr>
                  <w:rStyle w:val="InternetLink"/>
                  <w:rFonts w:ascii="Times New Roman;serif" w:hAnsi="Times New Roman;serif"/>
                  <w:b w:val="false"/>
                  <w:color w:val="000080"/>
                  <w:sz w:val="20"/>
                  <w:u w:val="single"/>
                </w:rPr>
                <w:t xml:space="preserve"> (incorporated by reference to Exhibit 4.3 to the Registrant’s Registration Statement on Form S-1 filed on October 28, 2025)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2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14">
              <w:r>
                <w:rPr>
                  <w:rStyle w:val="InternetLink"/>
                  <w:rFonts w:ascii="Times New Roman;serif" w:hAnsi="Times New Roman;serif"/>
                  <w:b w:val="false"/>
                  <w:color w:val="000080"/>
                  <w:sz w:val="20"/>
                  <w:u w:val="single"/>
                </w:rPr>
                <w:t>Third Supplemental Indenture, dated as of December 20, 2024, among each of the subsidiaries of Medline Borrower, LP listed thereto and Wilmington Trust, National Association, as trustee</w:t>
              </w:r>
            </w:hyperlink>
            <w:hyperlink r:id="rId15">
              <w:r>
                <w:rPr>
                  <w:rStyle w:val="InternetLink"/>
                  <w:rFonts w:ascii="Times New Roman;serif" w:hAnsi="Times New Roman;serif"/>
                  <w:b w:val="false"/>
                  <w:color w:val="000080"/>
                  <w:sz w:val="20"/>
                  <w:u w:val="single"/>
                </w:rPr>
                <w:t xml:space="preserve"> (incorporated by reference to Exhibit 4.4 to the Registrant’s Registration Statement on Form S-1 filed on October 28, 2025)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2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16">
              <w:r>
                <w:rPr>
                  <w:rStyle w:val="InternetLink"/>
                  <w:rFonts w:ascii="Times New Roman;serif" w:hAnsi="Times New Roman;serif"/>
                  <w:b w:val="false"/>
                  <w:color w:val="000080"/>
                  <w:sz w:val="20"/>
                  <w:u w:val="single"/>
                </w:rPr>
                <w:t>Indenture, dated as of October  15, 2021, among Mozart Debt Merger Sub Inc. and Wilmington Trust, National Association as trustee, paying agent, transfer agent, registrar and notes collateral agent</w:t>
              </w:r>
            </w:hyperlink>
            <w:hyperlink r:id="rId17">
              <w:r>
                <w:rPr>
                  <w:rStyle w:val="InternetLink"/>
                  <w:rFonts w:ascii="Times New Roman;serif" w:hAnsi="Times New Roman;serif"/>
                  <w:b w:val="false"/>
                  <w:color w:val="000080"/>
                  <w:sz w:val="20"/>
                  <w:u w:val="single"/>
                </w:rPr>
                <w:t xml:space="preserve"> (incorporated by reference to Exhibit 4.5 to the Registrant’s Registration Statement on Form S-1 filed on October 28,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95250"/>
                <wp:effectExtent l="0" t="0" r="0" b="0"/>
                <wp:wrapNone/>
                <wp:docPr id="139" name="Frame13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137</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6"/>
        <w:gridCol w:w="199"/>
        <w:gridCol w:w="206"/>
        <w:gridCol w:w="109"/>
        <w:gridCol w:w="109"/>
        <w:gridCol w:w="109"/>
        <w:gridCol w:w="2766"/>
        <w:gridCol w:w="2676"/>
        <w:gridCol w:w="3805"/>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18">
              <w:r>
                <w:rPr>
                  <w:rStyle w:val="InternetLink"/>
                  <w:rFonts w:ascii="Times New Roman;serif" w:hAnsi="Times New Roman;serif"/>
                  <w:b w:val="false"/>
                  <w:color w:val="000080"/>
                  <w:sz w:val="20"/>
                  <w:u w:val="single"/>
                </w:rPr>
                <w:t>First Supplemental Indenture, dated as of October  21, 2021, among each of the subsidiaries of Medline Borrower, LP listed thereto and Wilmington Trust, National Association, as trustee</w:t>
              </w:r>
            </w:hyperlink>
            <w:hyperlink r:id="rId19">
              <w:r>
                <w:rPr>
                  <w:rStyle w:val="InternetLink"/>
                  <w:rFonts w:ascii="Times New Roman;serif" w:hAnsi="Times New Roman;serif"/>
                  <w:b w:val="false"/>
                  <w:color w:val="000080"/>
                  <w:sz w:val="20"/>
                  <w:u w:val="single"/>
                </w:rPr>
                <w:t xml:space="preserve"> (incorporated by reference to Exhibit 4.6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20">
              <w:r>
                <w:rPr>
                  <w:rStyle w:val="InternetLink"/>
                  <w:rFonts w:ascii="Times New Roman;serif" w:hAnsi="Times New Roman;serif"/>
                  <w:b w:val="false"/>
                  <w:color w:val="0000FF"/>
                  <w:sz w:val="20"/>
                  <w:u w:val="single"/>
                </w:rPr>
                <w:t>Second Supplemental Indenture, dated as of July  19, 2024, among each of the subsidiaries of Medline Borrower, LP listed thereto and Wilmington Trust, National Association, as trustee (incorporated by reference to Exhibit 4.7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21">
              <w:r>
                <w:rPr>
                  <w:rStyle w:val="InternetLink"/>
                  <w:rFonts w:ascii="Times New Roman;serif" w:hAnsi="Times New Roman;serif"/>
                  <w:b w:val="false"/>
                  <w:color w:val="000080"/>
                  <w:sz w:val="20"/>
                  <w:u w:val="single"/>
                </w:rPr>
                <w:t>Third Supplemental Indenture, dated as of December 20, 2024, among each of the subsidiaries of Medline Borrower, LP listed thereto and Wilmington Trust, National Association, as trustee</w:t>
              </w:r>
            </w:hyperlink>
            <w:hyperlink r:id="rId22">
              <w:r>
                <w:rPr>
                  <w:rStyle w:val="InternetLink"/>
                  <w:rFonts w:ascii="Times New Roman;serif" w:hAnsi="Times New Roman;serif"/>
                  <w:b w:val="false"/>
                  <w:color w:val="000080"/>
                  <w:sz w:val="20"/>
                  <w:u w:val="single"/>
                </w:rPr>
                <w:t xml:space="preserve"> (incorporated by reference to Exhibit 4.8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23">
              <w:r>
                <w:rPr>
                  <w:rStyle w:val="InternetLink"/>
                  <w:rFonts w:ascii="Times New Roman;serif" w:hAnsi="Times New Roman;serif"/>
                  <w:b w:val="false"/>
                  <w:color w:val="000080"/>
                  <w:sz w:val="20"/>
                  <w:u w:val="single"/>
                </w:rPr>
                <w:t>Indenture, dated as of March  27, 2024, among Medline Borrower, LP, Medline Co-Issuer, Inc., Medline Intermediate, LP, the Subsidiary Guarantors named therein and Wilmington Trust, National Association as trustee, paying agent, transfer agent, registrar and notes collateral agent</w:t>
              </w:r>
            </w:hyperlink>
            <w:hyperlink r:id="rId24">
              <w:r>
                <w:rPr>
                  <w:rStyle w:val="InternetLink"/>
                  <w:rFonts w:ascii="Times New Roman;serif" w:hAnsi="Times New Roman;serif"/>
                  <w:b w:val="false"/>
                  <w:color w:val="000080"/>
                  <w:sz w:val="20"/>
                  <w:u w:val="single"/>
                </w:rPr>
                <w:t xml:space="preserve"> (incorporated by reference to Exhibit 4.9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25">
              <w:r>
                <w:rPr>
                  <w:rStyle w:val="InternetLink"/>
                  <w:rFonts w:ascii="Times New Roman;serif" w:hAnsi="Times New Roman;serif"/>
                  <w:b w:val="false"/>
                  <w:color w:val="000080"/>
                  <w:sz w:val="20"/>
                  <w:u w:val="single"/>
                </w:rPr>
                <w:t>First Supplemental Indenture, dated as of June  24, 2024, among each of the subsidiaries of Medline Borrower, LP listed thereto and Wilmington Trust, National Association, as trustee and collateral agent</w:t>
              </w:r>
            </w:hyperlink>
            <w:hyperlink r:id="rId26">
              <w:r>
                <w:rPr>
                  <w:rStyle w:val="InternetLink"/>
                  <w:rFonts w:ascii="Times New Roman;serif" w:hAnsi="Times New Roman;serif"/>
                  <w:b w:val="false"/>
                  <w:color w:val="000080"/>
                  <w:sz w:val="20"/>
                  <w:u w:val="single"/>
                </w:rPr>
                <w:t xml:space="preserve"> (incorporated by reference to Exhibit 4.10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27">
              <w:r>
                <w:rPr>
                  <w:rStyle w:val="InternetLink"/>
                  <w:rFonts w:ascii="Times New Roman;serif" w:hAnsi="Times New Roman;serif"/>
                  <w:b w:val="false"/>
                  <w:color w:val="0000FF"/>
                  <w:sz w:val="20"/>
                  <w:u w:val="single"/>
                </w:rPr>
                <w:t>Second Supplemental Indenture, dated as of July  19, 2024, among each of the subsidiaries of Medline Borrower, LP listed thereto and Wilmington Trust, National Association, as trustee and collateral agent (incorporated by reference to Exhibit 4.11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28">
              <w:r>
                <w:rPr>
                  <w:rStyle w:val="InternetLink"/>
                  <w:rFonts w:ascii="Times New Roman;serif" w:hAnsi="Times New Roman;serif"/>
                  <w:b w:val="false"/>
                  <w:color w:val="0000FF"/>
                  <w:sz w:val="20"/>
                  <w:u w:val="single"/>
                </w:rPr>
                <w:t>Third Supplemental Indenture, dated as of December 20, 2024, among each of the subsidiaries of Medline Borrower, LP listed thereto and Wilmington Trust, National Association, as trustee and collateral agent (incorporated by reference to Exhibit 4.12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413descriptionofregister.htm">
              <w:r>
                <w:rPr>
                  <w:rStyle w:val="InternetLink"/>
                  <w:rFonts w:ascii="Times New Roman;serif" w:hAnsi="Times New Roman;serif"/>
                  <w:b w:val="false"/>
                  <w:color w:val="0000FF"/>
                  <w:sz w:val="20"/>
                  <w:u w:val="single"/>
                </w:rPr>
                <w:t>Description of Securities Registered pursuant to Section 12 of the Securities Exchange Act of 1934*</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29">
              <w:r>
                <w:rPr>
                  <w:rStyle w:val="InternetLink"/>
                  <w:rFonts w:ascii="Times New Roman;serif" w:hAnsi="Times New Roman;serif"/>
                  <w:b w:val="false"/>
                  <w:color w:val="000080"/>
                  <w:sz w:val="20"/>
                  <w:u w:val="single"/>
                </w:rPr>
                <w:t>Second Amended and Restated Limited Partnership Agreement of Medline Holdings, LP</w:t>
              </w:r>
            </w:hyperlink>
            <w:hyperlink r:id="rId30">
              <w:r>
                <w:rPr>
                  <w:rStyle w:val="InternetLink"/>
                  <w:rFonts w:ascii="Times New Roman;serif" w:hAnsi="Times New Roman;serif"/>
                  <w:b w:val="false"/>
                  <w:color w:val="000080"/>
                  <w:sz w:val="20"/>
                  <w:u w:val="single"/>
                </w:rPr>
                <w:t xml:space="preserve">, dated </w:t>
              </w:r>
            </w:hyperlink>
            <w:hyperlink r:id="rId31">
              <w:r>
                <w:rPr>
                  <w:rStyle w:val="InternetLink"/>
                  <w:rFonts w:ascii="Times New Roman;serif" w:hAnsi="Times New Roman;serif"/>
                  <w:b w:val="false"/>
                  <w:color w:val="000080"/>
                  <w:sz w:val="20"/>
                  <w:u w:val="single"/>
                </w:rPr>
                <w:t>as of December 16, 2025</w:t>
              </w:r>
            </w:hyperlink>
            <w:hyperlink r:id="rId32">
              <w:r>
                <w:rPr>
                  <w:rStyle w:val="InternetLink"/>
                  <w:rFonts w:ascii="Times New Roman;serif" w:hAnsi="Times New Roman;serif"/>
                  <w:b w:val="false"/>
                  <w:color w:val="000080"/>
                  <w:sz w:val="20"/>
                  <w:u w:val="single"/>
                </w:rPr>
                <w:t xml:space="preserve"> (incorporated by reference to Exhibit 10.1 to the Registrant’s Current Report on Form 8-K filed on December 22,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33">
              <w:r>
                <w:rPr>
                  <w:rStyle w:val="InternetLink"/>
                  <w:rFonts w:ascii="Times New Roman;serif" w:hAnsi="Times New Roman;serif"/>
                  <w:b w:val="false"/>
                  <w:color w:val="0000FF"/>
                  <w:sz w:val="20"/>
                  <w:u w:val="single"/>
                </w:rPr>
                <w:t>Tax Receivable Agreement, dated as of December 16, 2025, by and among Medline Inc. and each of the other persons from time to time party thereto (incorporated by reference to Exhibit 10.2 to the Registrant’s Current Report on Form 8-K filed on December 22,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34">
              <w:r>
                <w:rPr>
                  <w:rStyle w:val="InternetLink"/>
                  <w:rFonts w:ascii="Times New Roman;serif" w:hAnsi="Times New Roman;serif"/>
                  <w:b w:val="false"/>
                  <w:color w:val="0000FF"/>
                  <w:sz w:val="20"/>
                  <w:u w:val="single"/>
                </w:rPr>
                <w:t>Exchange Agreement, dated as of December 16, 2025, by and among Medline Inc., Medline Holdings, LP and holders of Common Units from time to time party thereto (incorporated by reference to Exhibit 10.3 to the Registrant’s Current Report on Form 8-K filed on December 22,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FF"/>
                  <w:sz w:val="20"/>
                  <w:u w:val="single"/>
                </w:rPr>
                <w:t xml:space="preserve">Registration Rights Agreement, dated as of December 16, 2025, by and among Medline Inc. and each of the other persons from time to time party thereto (incorporated by reference to Exhibit 10.4 to the Registrant’s Current Report on Form 8-K filed on December 22, 2025) </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36">
              <w:r>
                <w:rPr>
                  <w:rStyle w:val="InternetLink"/>
                  <w:rFonts w:ascii="Times New Roman;serif" w:hAnsi="Times New Roman;serif"/>
                  <w:b w:val="false"/>
                  <w:color w:val="0000FF"/>
                  <w:sz w:val="20"/>
                  <w:u w:val="single"/>
                </w:rPr>
                <w:t>Director Nomination Agreement, dated as of December 16, 2025, between Medline Inc. and entities affiliated with Blackstone Inc. (incorporated by reference to Exhibit 10.5.1 to the Registrant’s Current Report on Form 8-K filed on December 22,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37">
              <w:r>
                <w:rPr>
                  <w:rStyle w:val="InternetLink"/>
                  <w:rFonts w:ascii="Times New Roman;serif" w:hAnsi="Times New Roman;serif"/>
                  <w:b w:val="false"/>
                  <w:color w:val="0000FF"/>
                  <w:sz w:val="20"/>
                  <w:u w:val="single"/>
                </w:rPr>
                <w:t>Director Nomination Agreement, dated as of December 16, 2025, between Medline Inc. and entities affiliated with The Carlyle Group Inc. (incorporated by reference to Exhibit 10.5.2 to the Registrant’s Current Report on Form 8-K filed on December 22,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95250"/>
                <wp:effectExtent l="0" t="0" r="0" b="0"/>
                <wp:wrapNone/>
                <wp:docPr id="140" name="Frame13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138</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2826"/>
        <w:gridCol w:w="2659"/>
        <w:gridCol w:w="3762"/>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38">
              <w:r>
                <w:rPr>
                  <w:rStyle w:val="InternetLink"/>
                  <w:rFonts w:ascii="Times New Roman;serif" w:hAnsi="Times New Roman;serif"/>
                  <w:b w:val="false"/>
                  <w:color w:val="0000FF"/>
                  <w:sz w:val="20"/>
                  <w:u w:val="single"/>
                </w:rPr>
                <w:t>Director Nomination Agreement, dated as of December 16, 2025, between Medline Inc. and entities affiliated with Hellman &amp; Friedman LLC (incorporated by reference to Exhibit 10.5.3 to the Registrant’s Current Report on Form 8-K filed on December 22,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10.5.4</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39">
              <w:r>
                <w:rPr>
                  <w:rStyle w:val="InternetLink"/>
                  <w:rFonts w:ascii="Times New Roman;serif" w:hAnsi="Times New Roman;serif"/>
                  <w:b w:val="false"/>
                  <w:color w:val="0000FF"/>
                  <w:sz w:val="20"/>
                  <w:u w:val="single"/>
                </w:rPr>
                <w:t>Family Director Nomination Agreement, dated as of December 16, 2025, between Medline Inc. and entities affiliated with the Mills Family (incorporated by reference to Exhibit 10.5.4 to the Registrant’s Current Report on Form 8-K filed on December 22,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40">
              <w:r>
                <w:rPr>
                  <w:rStyle w:val="InternetLink"/>
                  <w:rFonts w:ascii="Times New Roman;serif" w:hAnsi="Times New Roman;serif"/>
                  <w:b w:val="false"/>
                  <w:color w:val="000080"/>
                  <w:sz w:val="20"/>
                  <w:u w:val="single"/>
                </w:rPr>
                <w:t xml:space="preserve">Form of Indemnification Agreement </w:t>
              </w:r>
            </w:hyperlink>
            <w:hyperlink r:id="rId41">
              <w:r>
                <w:rPr>
                  <w:rStyle w:val="InternetLink"/>
                  <w:rFonts w:ascii="Times New Roman;serif" w:hAnsi="Times New Roman;serif"/>
                  <w:b w:val="false"/>
                  <w:color w:val="000080"/>
                  <w:sz w:val="20"/>
                  <w:u w:val="single"/>
                </w:rPr>
                <w:t>(incorporated by reference to Exhibit 10.6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42">
              <w:r>
                <w:rPr>
                  <w:rStyle w:val="InternetLink"/>
                  <w:rFonts w:ascii="Times New Roman;serif" w:hAnsi="Times New Roman;serif"/>
                  <w:b w:val="false"/>
                  <w:color w:val="000080"/>
                  <w:sz w:val="20"/>
                  <w:u w:val="single"/>
                </w:rPr>
                <w:t>Support and Services Agreement, dated as of October  21, 2021, among Medline Holdings, LP (f/k/a Mozart Holdings, LP), Medline Industries, LP, Blackstone Capital Partners VIII L.P. and Blackstone Management Partners L.L.C.</w:t>
              </w:r>
            </w:hyperlink>
            <w:hyperlink r:id="rId43">
              <w:r>
                <w:rPr>
                  <w:rStyle w:val="InternetLink"/>
                  <w:rFonts w:ascii="Times New Roman;serif" w:hAnsi="Times New Roman;serif"/>
                  <w:b w:val="false"/>
                  <w:color w:val="000080"/>
                  <w:sz w:val="20"/>
                  <w:u w:val="single"/>
                </w:rPr>
                <w:t xml:space="preserve"> (incorporated by reference to Exhibit 10.7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44">
              <w:r>
                <w:rPr>
                  <w:rStyle w:val="InternetLink"/>
                  <w:rFonts w:ascii="Times New Roman;serif" w:hAnsi="Times New Roman;serif"/>
                  <w:b w:val="false"/>
                  <w:color w:val="000080"/>
                  <w:sz w:val="20"/>
                  <w:u w:val="single"/>
                </w:rPr>
                <w:t>Consulting Services Agreement, dated as of October  21, 2021, between Medline Holdings, LP (f/k/a Mozart Holdings, LP) and Carlyle Investment Management L.L.C.</w:t>
              </w:r>
            </w:hyperlink>
            <w:hyperlink r:id="rId45">
              <w:r>
                <w:rPr>
                  <w:rStyle w:val="InternetLink"/>
                  <w:rFonts w:ascii="Times New Roman;serif" w:hAnsi="Times New Roman;serif"/>
                  <w:b w:val="false"/>
                  <w:color w:val="000080"/>
                  <w:sz w:val="20"/>
                  <w:u w:val="single"/>
                </w:rPr>
                <w:t xml:space="preserve"> (incorporated by reference to Exhibit 10.8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46">
              <w:r>
                <w:rPr>
                  <w:rStyle w:val="InternetLink"/>
                  <w:rFonts w:ascii="Times New Roman;serif" w:hAnsi="Times New Roman;serif"/>
                  <w:b w:val="false"/>
                  <w:color w:val="000080"/>
                  <w:sz w:val="20"/>
                  <w:u w:val="single"/>
                </w:rPr>
                <w:t>Service Agreement, dated as of October 21, 2021, between Medline Holdings, LP (f/k/a Mozart Holdings, LP) and Hellman  &amp; Friedman LP</w:t>
              </w:r>
            </w:hyperlink>
            <w:hyperlink r:id="rId47">
              <w:r>
                <w:rPr>
                  <w:rStyle w:val="InternetLink"/>
                  <w:rFonts w:ascii="Times New Roman;serif" w:hAnsi="Times New Roman;serif"/>
                  <w:b w:val="false"/>
                  <w:color w:val="000080"/>
                  <w:sz w:val="20"/>
                  <w:u w:val="single"/>
                </w:rPr>
                <w:t xml:space="preserve"> (incorporated by reference to Exhibit 10.9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48">
              <w:r>
                <w:rPr>
                  <w:rStyle w:val="InternetLink"/>
                  <w:rFonts w:ascii="Times New Roman;serif" w:hAnsi="Times New Roman;serif"/>
                  <w:b w:val="false"/>
                  <w:color w:val="000080"/>
                  <w:sz w:val="20"/>
                  <w:u w:val="single"/>
                </w:rPr>
                <w:t>Service Agreement, dated as of October 21, 2021, between Medline Holdings, LP (f/k/a Mozart Holdings, LP) and Mozart Holdco, Inc.</w:t>
              </w:r>
            </w:hyperlink>
            <w:hyperlink r:id="rId49">
              <w:r>
                <w:rPr>
                  <w:rStyle w:val="InternetLink"/>
                  <w:rFonts w:ascii="Times New Roman;serif" w:hAnsi="Times New Roman;serif"/>
                  <w:b w:val="false"/>
                  <w:color w:val="000080"/>
                  <w:sz w:val="20"/>
                  <w:u w:val="single"/>
                </w:rPr>
                <w:t xml:space="preserve"> (incorporated by reference to Exhibit 10.10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50">
              <w:r>
                <w:rPr>
                  <w:rStyle w:val="InternetLink"/>
                  <w:rFonts w:ascii="Times New Roman;serif" w:hAnsi="Times New Roman;serif"/>
                  <w:b w:val="false"/>
                  <w:color w:val="000080"/>
                  <w:sz w:val="20"/>
                  <w:u w:val="single"/>
                </w:rPr>
                <w:t>Medline Inc. 2025 Omnibus Incentive Plan</w:t>
              </w:r>
            </w:hyperlink>
            <w:hyperlink r:id="rId51">
              <w:r>
                <w:rPr>
                  <w:rStyle w:val="InternetLink"/>
                  <w:rFonts w:ascii="Times New Roman;serif" w:hAnsi="Times New Roman;serif"/>
                  <w:b w:val="false"/>
                  <w:color w:val="000080"/>
                  <w:sz w:val="20"/>
                  <w:u w:val="single"/>
                </w:rPr>
                <w:t xml:space="preserve"> (incorporated by reference to Exhibit 4.3 filed with the Registrant’s Registration Statement on Form S-8 filed on December 16,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52">
              <w:r>
                <w:rPr>
                  <w:rStyle w:val="InternetLink"/>
                  <w:rFonts w:ascii="Times New Roman;serif" w:hAnsi="Times New Roman;serif"/>
                  <w:b w:val="false"/>
                  <w:color w:val="0000FF"/>
                  <w:sz w:val="20"/>
                  <w:u w:val="single"/>
                </w:rPr>
                <w:t>Employment Agreement between Medline Industries, LP and James M. Boyle, dated October 1, 2023 (incorporated by reference to Exhibit 10.12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53">
              <w:r>
                <w:rPr>
                  <w:rStyle w:val="InternetLink"/>
                  <w:rFonts w:ascii="Times New Roman;serif" w:hAnsi="Times New Roman;serif"/>
                  <w:b w:val="false"/>
                  <w:color w:val="0000FF"/>
                  <w:sz w:val="20"/>
                  <w:u w:val="single"/>
                </w:rPr>
                <w:t>Employment Agreement between Medline Industries, LP and James M. Pigott, dated October 1, 2023 (incorporated by reference to Exhibit 10.13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54">
              <w:r>
                <w:rPr>
                  <w:rStyle w:val="InternetLink"/>
                  <w:rFonts w:ascii="Times New Roman;serif" w:hAnsi="Times New Roman;serif"/>
                  <w:b w:val="false"/>
                  <w:color w:val="0000FF"/>
                  <w:sz w:val="20"/>
                  <w:u w:val="single"/>
                </w:rPr>
                <w:t>Transition and Release Agreement by and among James M. Pigott, Medline Industries, LP, Medline Management Aggregator LLC (f/k/a Mozart Management Aggregator LLC) and Medline Holdings, LP (f/k/a Mozart Holdings, LP), dated October 14, 2024 (incorporated by reference to Exhibit 10.14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55">
              <w:r>
                <w:rPr>
                  <w:rStyle w:val="InternetLink"/>
                  <w:rFonts w:ascii="Times New Roman;serif" w:hAnsi="Times New Roman;serif"/>
                  <w:b w:val="false"/>
                  <w:color w:val="000080"/>
                  <w:sz w:val="20"/>
                  <w:u w:val="single"/>
                </w:rPr>
                <w:t xml:space="preserve">Credit Agreement, dated as of October  21, 2021, among Medline Borrower, LP, as successor in interest to Mozart Debt Merger Sub Inc., Medline Intermediate, LP, the guarantors from time to time party thereto, the lending institutions from time to time party thereto, and Bank of America, N.A., as administrative agent and collateral agent </w:t>
              </w:r>
            </w:hyperlink>
            <w:hyperlink r:id="rId56">
              <w:r>
                <w:rPr>
                  <w:rStyle w:val="InternetLink"/>
                  <w:rFonts w:ascii="Times New Roman;serif" w:hAnsi="Times New Roman;serif"/>
                  <w:b w:val="false"/>
                  <w:color w:val="000080"/>
                  <w:sz w:val="20"/>
                  <w:u w:val="single"/>
                </w:rPr>
                <w:t>(incorporated by reference to Exhibit 10.15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57">
              <w:r>
                <w:rPr>
                  <w:rStyle w:val="InternetLink"/>
                  <w:rFonts w:ascii="Times New Roman;serif" w:hAnsi="Times New Roman;serif"/>
                  <w:b w:val="false"/>
                  <w:color w:val="000080"/>
                  <w:sz w:val="20"/>
                  <w:u w:val="single"/>
                </w:rPr>
                <w:t xml:space="preserve">Amendment No. 1 to the Credit Agreement, dated as of June  28, 2023, among Medline Borrower, LP, as successor in interest to Mozart Debt Merger Sub Inc., Medline Intermediate, LP, the guarantors from time to time party thereto, the lending institutions from time to time party thereto, and Bank of America, N.A., as administrative agent and collateral agent </w:t>
              </w:r>
            </w:hyperlink>
            <w:hyperlink r:id="rId58">
              <w:r>
                <w:rPr>
                  <w:rStyle w:val="InternetLink"/>
                  <w:rFonts w:ascii="Times New Roman;serif" w:hAnsi="Times New Roman;serif"/>
                  <w:b w:val="false"/>
                  <w:color w:val="000080"/>
                  <w:sz w:val="20"/>
                  <w:u w:val="single"/>
                </w:rPr>
                <w:t>(incorporated by reference to Exhibit 10.16 to the Registrant’s Registration Statement on Form S-1 filed on October 28, 2025)</w:t>
              </w:r>
            </w:hyperlink>
          </w:p>
        </w:tc>
      </w:tr>
      <w:tr>
        <w:trPr/>
        <w:tc>
          <w:tcPr>
            <w:tcW w:w="63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47"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59">
              <w:r>
                <w:rPr>
                  <w:rStyle w:val="InternetLink"/>
                  <w:rFonts w:ascii="Times New Roman;serif" w:hAnsi="Times New Roman;serif"/>
                  <w:b w:val="false"/>
                  <w:color w:val="000080"/>
                  <w:sz w:val="20"/>
                  <w:u w:val="single"/>
                </w:rPr>
                <w:t xml:space="preserve">Amendment No. 2 to the Credit Agreement, dated as of March  27, 2024, among Medline Borrower, LP, as successor in interest to Mozart Debt Merger Sub Inc., Medline Intermediate, LP, the guarantors from time to time party thereto, the lending institutions from time to time party thereto, and Bank of America, N.A., as administrative agent and collateral agent </w:t>
              </w:r>
            </w:hyperlink>
            <w:hyperlink r:id="rId60">
              <w:r>
                <w:rPr>
                  <w:rStyle w:val="InternetLink"/>
                  <w:rFonts w:ascii="Times New Roman;serif" w:hAnsi="Times New Roman;serif"/>
                  <w:b w:val="false"/>
                  <w:color w:val="000080"/>
                  <w:sz w:val="20"/>
                  <w:u w:val="single"/>
                </w:rPr>
                <w:t>(incorporated by reference to Exhibit 10.17 to the Registrant’s Registration Statement on Form S-1 filed on October 28,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95250"/>
                <wp:effectExtent l="0" t="0" r="0" b="0"/>
                <wp:wrapNone/>
                <wp:docPr id="141" name="Frame14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139</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22"/>
        <w:gridCol w:w="2722"/>
        <w:gridCol w:w="3848"/>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61">
              <w:r>
                <w:rPr>
                  <w:rStyle w:val="InternetLink"/>
                  <w:rFonts w:ascii="Times New Roman;serif" w:hAnsi="Times New Roman;serif"/>
                  <w:b w:val="false"/>
                  <w:color w:val="000080"/>
                  <w:sz w:val="20"/>
                  <w:u w:val="single"/>
                </w:rPr>
                <w:t xml:space="preserve">Amendment No. 3 to the Credit Agreement, dated as of July  8, 2024, among Medline Borrower, LP, as successor in interest to Mozart Debt Merger Sub Inc., Medline Intermediate, LP, the guarantors from time to time party thereto, the lending institutions from time to time party thereto, and Bank of America, N.A., as administrative agent and collateral agent </w:t>
              </w:r>
            </w:hyperlink>
            <w:hyperlink r:id="rId62">
              <w:r>
                <w:rPr>
                  <w:rStyle w:val="InternetLink"/>
                  <w:rFonts w:ascii="Times New Roman;serif" w:hAnsi="Times New Roman;serif"/>
                  <w:b w:val="false"/>
                  <w:color w:val="000080"/>
                  <w:sz w:val="20"/>
                  <w:u w:val="single"/>
                </w:rPr>
                <w:t>(incorporated by reference to Exhibit 10.18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63">
              <w:r>
                <w:rPr>
                  <w:rStyle w:val="InternetLink"/>
                  <w:rFonts w:ascii="Times New Roman;serif" w:hAnsi="Times New Roman;serif"/>
                  <w:b w:val="false"/>
                  <w:color w:val="000080"/>
                  <w:sz w:val="20"/>
                  <w:u w:val="single"/>
                </w:rPr>
                <w:t xml:space="preserve">Amendment No. 4 to the Credit Agreement, dated as of November  19, 2024, among Medline Borrower, LP, as successor in interest to Mozart Debt Merger Sub Inc., Medline Intermediate, LP, the guarantors from time to time party thereto, the lending institutions from time to time party thereto, and Bank of America, N.A., as administrative agent and collateral agent </w:t>
              </w:r>
            </w:hyperlink>
            <w:hyperlink r:id="rId64">
              <w:r>
                <w:rPr>
                  <w:rStyle w:val="InternetLink"/>
                  <w:rFonts w:ascii="Times New Roman;serif" w:hAnsi="Times New Roman;serif"/>
                  <w:b w:val="false"/>
                  <w:color w:val="000080"/>
                  <w:sz w:val="20"/>
                  <w:u w:val="single"/>
                </w:rPr>
                <w:t>(incorporated by reference to Exhibit 10.19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65">
              <w:r>
                <w:rPr>
                  <w:rStyle w:val="InternetLink"/>
                  <w:rFonts w:ascii="Times New Roman;serif" w:hAnsi="Times New Roman;serif"/>
                  <w:b w:val="false"/>
                  <w:color w:val="000080"/>
                  <w:sz w:val="20"/>
                  <w:u w:val="single"/>
                </w:rPr>
                <w:t xml:space="preserve">Security Agreement, dated as of October 21, 2021, among the grantors party thereto and Bank of America, N.A., as collateral agent </w:t>
              </w:r>
            </w:hyperlink>
            <w:hyperlink r:id="rId66">
              <w:r>
                <w:rPr>
                  <w:rStyle w:val="InternetLink"/>
                  <w:rFonts w:ascii="Times New Roman;serif" w:hAnsi="Times New Roman;serif"/>
                  <w:b w:val="false"/>
                  <w:color w:val="000080"/>
                  <w:sz w:val="20"/>
                  <w:u w:val="single"/>
                </w:rPr>
                <w:t>(incorporated by reference to Exhibit 10.20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67">
              <w:r>
                <w:rPr>
                  <w:rStyle w:val="InternetLink"/>
                  <w:rFonts w:ascii="Times New Roman;serif" w:hAnsi="Times New Roman;serif"/>
                  <w:b w:val="false"/>
                  <w:color w:val="000080"/>
                  <w:sz w:val="20"/>
                  <w:u w:val="single"/>
                </w:rPr>
                <w:t xml:space="preserve">Supplement No. 1, dated as of July 19, 2024, to the Security Agreement, dated as of October  21, 2021, among the grantors party thereto and Bank of America, N.A., as collateral agent </w:t>
              </w:r>
            </w:hyperlink>
            <w:hyperlink r:id="rId68">
              <w:r>
                <w:rPr>
                  <w:rStyle w:val="InternetLink"/>
                  <w:rFonts w:ascii="Times New Roman;serif" w:hAnsi="Times New Roman;serif"/>
                  <w:b w:val="false"/>
                  <w:color w:val="000080"/>
                  <w:sz w:val="20"/>
                  <w:u w:val="single"/>
                </w:rPr>
                <w:t>(incorporated by reference to Exhibit 10.21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69">
              <w:r>
                <w:rPr>
                  <w:rStyle w:val="InternetLink"/>
                  <w:rFonts w:ascii="Times New Roman;serif" w:hAnsi="Times New Roman;serif"/>
                  <w:b w:val="false"/>
                  <w:color w:val="000080"/>
                  <w:sz w:val="20"/>
                  <w:u w:val="single"/>
                </w:rPr>
                <w:t xml:space="preserve">Supplement No. 2 to the Security Agreement, dated as of December  20, 2024, among the grantors party thereto and Bank of America, N.A., as collateral agent </w:t>
              </w:r>
            </w:hyperlink>
            <w:hyperlink r:id="rId70">
              <w:r>
                <w:rPr>
                  <w:rStyle w:val="InternetLink"/>
                  <w:rFonts w:ascii="Times New Roman;serif" w:hAnsi="Times New Roman;serif"/>
                  <w:b w:val="false"/>
                  <w:color w:val="000080"/>
                  <w:sz w:val="20"/>
                  <w:u w:val="single"/>
                </w:rPr>
                <w:t>(incorporated by reference to Exhibit 10.22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71">
              <w:r>
                <w:rPr>
                  <w:rStyle w:val="InternetLink"/>
                  <w:rFonts w:ascii="Times New Roman;serif" w:hAnsi="Times New Roman;serif"/>
                  <w:b w:val="false"/>
                  <w:color w:val="000080"/>
                  <w:sz w:val="20"/>
                  <w:u w:val="single"/>
                </w:rPr>
                <w:t xml:space="preserve">Security Agreement, dated as of October  21, 2021, among the grantors party thereto and Wilmington Trust, National Association as notes collateral agent </w:t>
              </w:r>
            </w:hyperlink>
            <w:hyperlink r:id="rId72">
              <w:r>
                <w:rPr>
                  <w:rStyle w:val="InternetLink"/>
                  <w:rFonts w:ascii="Times New Roman;serif" w:hAnsi="Times New Roman;serif"/>
                  <w:b w:val="false"/>
                  <w:color w:val="000080"/>
                  <w:sz w:val="20"/>
                  <w:u w:val="single"/>
                </w:rPr>
                <w:t>(incorporated by reference to Exhibit 10.23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73">
              <w:r>
                <w:rPr>
                  <w:rStyle w:val="InternetLink"/>
                  <w:rFonts w:ascii="Times New Roman;serif" w:hAnsi="Times New Roman;serif"/>
                  <w:b w:val="false"/>
                  <w:color w:val="000080"/>
                  <w:sz w:val="20"/>
                  <w:u w:val="single"/>
                </w:rPr>
                <w:t xml:space="preserve">Supplement No. 1 to the Security Agreement, dated as of July  19, 2024, among the grantors party thereto and Wilmington Trust, National Association as notes collateral agent </w:t>
              </w:r>
            </w:hyperlink>
            <w:hyperlink r:id="rId74">
              <w:r>
                <w:rPr>
                  <w:rStyle w:val="InternetLink"/>
                  <w:rFonts w:ascii="Times New Roman;serif" w:hAnsi="Times New Roman;serif"/>
                  <w:b w:val="false"/>
                  <w:color w:val="000080"/>
                  <w:sz w:val="20"/>
                  <w:u w:val="single"/>
                </w:rPr>
                <w:t>(incorporated by reference to Exhibit 10.24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75">
              <w:r>
                <w:rPr>
                  <w:rStyle w:val="InternetLink"/>
                  <w:rFonts w:ascii="Times New Roman;serif" w:hAnsi="Times New Roman;serif"/>
                  <w:b w:val="false"/>
                  <w:color w:val="000080"/>
                  <w:sz w:val="20"/>
                  <w:u w:val="single"/>
                </w:rPr>
                <w:t xml:space="preserve">Supplement No. 2 to the Security Agreement, dated as of December  20, 2024, among the grantors party thereto and Wilmington Trust, National Association as notes collateral agent </w:t>
              </w:r>
            </w:hyperlink>
            <w:hyperlink r:id="rId76">
              <w:r>
                <w:rPr>
                  <w:rStyle w:val="InternetLink"/>
                  <w:rFonts w:ascii="Times New Roman;serif" w:hAnsi="Times New Roman;serif"/>
                  <w:b w:val="false"/>
                  <w:color w:val="000080"/>
                  <w:sz w:val="20"/>
                  <w:u w:val="single"/>
                </w:rPr>
                <w:t>(incorporated by reference to Exhibit 10.25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77">
              <w:r>
                <w:rPr>
                  <w:rStyle w:val="InternetLink"/>
                  <w:rFonts w:ascii="Times New Roman;serif" w:hAnsi="Times New Roman;serif"/>
                  <w:b w:val="false"/>
                  <w:color w:val="000080"/>
                  <w:sz w:val="20"/>
                  <w:u w:val="single"/>
                </w:rPr>
                <w:t xml:space="preserve">Security Agreement, dated as of March  27, 2024, among the grantors party thereto and Wilmington Trust, National Association as notes collateral agent </w:t>
              </w:r>
            </w:hyperlink>
            <w:hyperlink r:id="rId78">
              <w:r>
                <w:rPr>
                  <w:rStyle w:val="InternetLink"/>
                  <w:rFonts w:ascii="Times New Roman;serif" w:hAnsi="Times New Roman;serif"/>
                  <w:b w:val="false"/>
                  <w:color w:val="000080"/>
                  <w:sz w:val="20"/>
                  <w:u w:val="single"/>
                </w:rPr>
                <w:t>(incorporated by reference to Exhibit 10.26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79">
              <w:r>
                <w:rPr>
                  <w:rStyle w:val="InternetLink"/>
                  <w:rFonts w:ascii="Times New Roman;serif" w:hAnsi="Times New Roman;serif"/>
                  <w:b w:val="false"/>
                  <w:color w:val="000080"/>
                  <w:sz w:val="20"/>
                  <w:u w:val="single"/>
                </w:rPr>
                <w:t xml:space="preserve">Supplement No. 1 to the Security Agreement, dated as of July  19, 2024, among the grantors party thereto and Wilmington Trust, National Association as notes collateral agent </w:t>
              </w:r>
            </w:hyperlink>
            <w:hyperlink r:id="rId80">
              <w:r>
                <w:rPr>
                  <w:rStyle w:val="InternetLink"/>
                  <w:rFonts w:ascii="Times New Roman;serif" w:hAnsi="Times New Roman;serif"/>
                  <w:b w:val="false"/>
                  <w:color w:val="000080"/>
                  <w:sz w:val="20"/>
                  <w:u w:val="single"/>
                </w:rPr>
                <w:t>(incorporated by reference to Exhibit 10.27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81">
              <w:r>
                <w:rPr>
                  <w:rStyle w:val="InternetLink"/>
                  <w:rFonts w:ascii="Times New Roman;serif" w:hAnsi="Times New Roman;serif"/>
                  <w:b w:val="false"/>
                  <w:color w:val="000080"/>
                  <w:sz w:val="20"/>
                  <w:u w:val="single"/>
                </w:rPr>
                <w:t xml:space="preserve">Supplement No. 2 to the Security Agreement, dated as of December  20, 2024, among the grantors party thereto and Wilmington Trust, National Association as notes collateral agent </w:t>
              </w:r>
            </w:hyperlink>
            <w:hyperlink r:id="rId82">
              <w:r>
                <w:rPr>
                  <w:rStyle w:val="InternetLink"/>
                  <w:rFonts w:ascii="Times New Roman;serif" w:hAnsi="Times New Roman;serif"/>
                  <w:b w:val="false"/>
                  <w:color w:val="000080"/>
                  <w:sz w:val="20"/>
                  <w:u w:val="single"/>
                </w:rPr>
                <w:t>(incorporated by reference to Exhibit 10.28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83">
              <w:r>
                <w:rPr>
                  <w:rStyle w:val="InternetLink"/>
                  <w:rFonts w:ascii="Times New Roman;serif" w:hAnsi="Times New Roman;serif"/>
                  <w:b w:val="false"/>
                  <w:color w:val="0000FF"/>
                  <w:sz w:val="20"/>
                  <w:u w:val="single"/>
                </w:rPr>
                <w:t>Medline Inc. 2025 Employee Stock Purchase Plan (incorporated by reference to Exhibit 4.4 filed with the Registrant’s Registration Statement on Form S-8 filed on December 16,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1030arexecutiveseverance.htm">
              <w:r>
                <w:rPr>
                  <w:rStyle w:val="InternetLink"/>
                  <w:rFonts w:ascii="Times New Roman;serif" w:hAnsi="Times New Roman;serif"/>
                  <w:b w:val="false"/>
                  <w:color w:val="0000FF"/>
                  <w:sz w:val="20"/>
                  <w:u w:val="single"/>
                </w:rPr>
                <w:t>Amended and Restated Medline Inc. Executive Severance Plan*†</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84">
              <w:r>
                <w:rPr>
                  <w:rStyle w:val="InternetLink"/>
                  <w:rFonts w:ascii="Times New Roman;serif" w:hAnsi="Times New Roman;serif"/>
                  <w:b w:val="false"/>
                  <w:color w:val="0000FF"/>
                  <w:sz w:val="20"/>
                  <w:u w:val="single"/>
                </w:rPr>
                <w:t>Medline Management Aggregator LLC Equity Incentive Plan (incorporated by reference to Exhibit 10.31 to the Registrant’s Registration Statement on Form S-1 filed on October 28,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85">
              <w:r>
                <w:rPr>
                  <w:rStyle w:val="InternetLink"/>
                  <w:rFonts w:ascii="Times New Roman;serif" w:hAnsi="Times New Roman;serif"/>
                  <w:b w:val="false"/>
                  <w:color w:val="0000FF"/>
                  <w:sz w:val="20"/>
                  <w:u w:val="single"/>
                </w:rPr>
                <w:t>Form of Unit Subscription Agreement (Class A Units and Class B Units of the Aggregator) (incorporated by reference to Exhibit 10.32 to the Registrant’s Registration Statement on Form S-1 filed on October 28,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95250"/>
                <wp:effectExtent l="0" t="0" r="0" b="0"/>
                <wp:wrapNone/>
                <wp:docPr id="142" name="Frame14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140</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3"/>
        <w:gridCol w:w="204"/>
        <w:gridCol w:w="206"/>
        <w:gridCol w:w="109"/>
        <w:gridCol w:w="109"/>
        <w:gridCol w:w="109"/>
        <w:gridCol w:w="2835"/>
        <w:gridCol w:w="2645"/>
        <w:gridCol w:w="3755"/>
      </w:tblGrid>
      <w:tr>
        <w:trPr/>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86">
              <w:r>
                <w:rPr>
                  <w:rStyle w:val="InternetLink"/>
                  <w:rFonts w:ascii="Times New Roman;serif" w:hAnsi="Times New Roman;serif"/>
                  <w:b w:val="false"/>
                  <w:color w:val="0000FF"/>
                  <w:sz w:val="20"/>
                  <w:u w:val="single"/>
                </w:rPr>
                <w:t>Form of Incentive Unit Subscription Agreement (Class B Units of the Aggregator) (General) (incorporated by reference to Exhibit 10.33 to the Registrant’s Registration Statement on Form S-1 filed on October 28, 2025)†</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87">
              <w:r>
                <w:rPr>
                  <w:rStyle w:val="InternetLink"/>
                  <w:rFonts w:ascii="Times New Roman;serif" w:hAnsi="Times New Roman;serif"/>
                  <w:b w:val="false"/>
                  <w:color w:val="0000FF"/>
                  <w:sz w:val="20"/>
                  <w:u w:val="single"/>
                </w:rPr>
                <w:t>Form of Incentive Unit Subscription Agreement (Class B Units of the Aggregator) (Messrs. Boyle and Pigott Promotion Grant) (incorporated by reference to Exhibit 10.34 to the Registrant’s Registration Statement on Form S-1 filed on October 28, 2025)†</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88">
              <w:r>
                <w:rPr>
                  <w:rStyle w:val="InternetLink"/>
                  <w:rFonts w:ascii="Times New Roman;serif" w:hAnsi="Times New Roman;serif"/>
                  <w:b w:val="false"/>
                  <w:color w:val="000080"/>
                  <w:sz w:val="20"/>
                  <w:u w:val="single"/>
                </w:rPr>
                <w:t>Amendment No. 5 to the Credit Agreement, dated March  28, 2025, among Medline Borrower, LP, as successor in interest to Mozart Debt Merger Sub Inc., Medline Intermediate, LP, the guarantors from time to time party thereto, the lending institutions from time to time party thereto, and Bank of America, N.A., as administrative agent and collateral agent</w:t>
              </w:r>
            </w:hyperlink>
            <w:hyperlink r:id="rId89">
              <w:r>
                <w:rPr>
                  <w:rStyle w:val="InternetLink"/>
                  <w:rFonts w:ascii="Times New Roman;serif" w:hAnsi="Times New Roman;serif"/>
                  <w:b w:val="false"/>
                  <w:color w:val="000080"/>
                  <w:sz w:val="20"/>
                  <w:u w:val="single"/>
                </w:rPr>
                <w:t xml:space="preserve"> (incorporated by reference to Exhibit 10.35 to the Registrant’s Registration Statement on Form S-1 filed on October 28, 2025)</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90">
              <w:r>
                <w:rPr>
                  <w:rStyle w:val="InternetLink"/>
                  <w:rFonts w:ascii="Times New Roman;serif" w:hAnsi="Times New Roman;serif"/>
                  <w:b w:val="false"/>
                  <w:color w:val="000080"/>
                  <w:sz w:val="20"/>
                  <w:u w:val="single"/>
                </w:rPr>
                <w:t>Amendment No. 6 to the Credit Agreement, dated July  31, 2025, among Medline Borrower, LP, as successor in interest to Mozart Debt Merger Sub Inc., Medline Intermediate, LP, the guarantors from time to time party thereto, the lending institutions from time to time party thereto, and Bank of America, N.A., as administrative agent and collateral agent</w:t>
              </w:r>
            </w:hyperlink>
            <w:hyperlink r:id="rId91">
              <w:r>
                <w:rPr>
                  <w:rStyle w:val="InternetLink"/>
                  <w:rFonts w:ascii="Times New Roman;serif" w:hAnsi="Times New Roman;serif"/>
                  <w:b w:val="false"/>
                  <w:color w:val="000080"/>
                  <w:sz w:val="20"/>
                  <w:u w:val="single"/>
                </w:rPr>
                <w:t xml:space="preserve"> (incorporated by reference to Exhibit 10.36 to the Registrant’s Registration Statement on Form S-1 filed on October 28, 2025)</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92">
              <w:r>
                <w:rPr>
                  <w:rStyle w:val="InternetLink"/>
                  <w:rFonts w:ascii="Times New Roman;serif" w:hAnsi="Times New Roman;serif"/>
                  <w:b w:val="false"/>
                  <w:color w:val="0000FF"/>
                  <w:sz w:val="20"/>
                  <w:u w:val="single"/>
                </w:rPr>
                <w:t>Information and Access Agreement, dated as of December 16, 2025, between Medline Inc. and entities affiliated with Hux Investment Pte. Ltd. (incorporated by reference to Exhibit 10.6 to the Registrant’s Current Report on Form 8-K filed on December 22, 2025)</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1038mdln-formofinitialrs.htm">
              <w:r>
                <w:rPr>
                  <w:rStyle w:val="InternetLink"/>
                  <w:rFonts w:ascii="Times New Roman;serif" w:hAnsi="Times New Roman;serif"/>
                  <w:b w:val="false"/>
                  <w:color w:val="000080"/>
                  <w:sz w:val="20"/>
                  <w:u w:val="single"/>
                </w:rPr>
                <w:t>Form of Initial Restricted Stock Unit Grant Notice and Agreement (Director) under</w:t>
              </w:r>
            </w:hyperlink>
            <w:hyperlink w:anchor="ex1038mdln-formofinitialrs.htm">
              <w:r>
                <w:rPr>
                  <w:rStyle w:val="InternetLink"/>
                  <w:rFonts w:ascii="Times New Roman;serif" w:hAnsi="Times New Roman;serif"/>
                  <w:b w:val="false"/>
                  <w:color w:val="000080"/>
                  <w:sz w:val="20"/>
                  <w:u w:val="single"/>
                </w:rPr>
                <w:t xml:space="preserve"> the</w:t>
              </w:r>
            </w:hyperlink>
            <w:hyperlink w:anchor="ex1038mdln-formofinitialrs.htm">
              <w:r>
                <w:rPr>
                  <w:rStyle w:val="InternetLink"/>
                  <w:rFonts w:ascii="Times New Roman;serif" w:hAnsi="Times New Roman;serif"/>
                  <w:b w:val="false"/>
                  <w:color w:val="000080"/>
                  <w:sz w:val="20"/>
                  <w:u w:val="single"/>
                </w:rPr>
                <w:t xml:space="preserve"> Medline Inc. 2025 Omnibus Incentive Plan.*†</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1039mdln-formofannualrsu.htm">
              <w:r>
                <w:rPr>
                  <w:rStyle w:val="InternetLink"/>
                  <w:rFonts w:ascii="Times New Roman;serif" w:hAnsi="Times New Roman;serif"/>
                  <w:b w:val="false"/>
                  <w:color w:val="000080"/>
                  <w:sz w:val="20"/>
                  <w:u w:val="single"/>
                </w:rPr>
                <w:t xml:space="preserve">Form of </w:t>
              </w:r>
            </w:hyperlink>
            <w:hyperlink w:anchor="ex1039mdln-formofannualrsu.htm">
              <w:r>
                <w:rPr>
                  <w:rStyle w:val="InternetLink"/>
                  <w:rFonts w:ascii="Times New Roman;serif" w:hAnsi="Times New Roman;serif"/>
                  <w:b w:val="false"/>
                  <w:color w:val="000080"/>
                  <w:sz w:val="20"/>
                  <w:u w:val="single"/>
                </w:rPr>
                <w:t>Restricted Stock Unit Grant Notice and Agreement (Employee) under</w:t>
              </w:r>
            </w:hyperlink>
            <w:hyperlink w:anchor="ex1039mdln-formofannualrsu.htm">
              <w:r>
                <w:rPr>
                  <w:rStyle w:val="InternetLink"/>
                  <w:rFonts w:ascii="Times New Roman;serif" w:hAnsi="Times New Roman;serif"/>
                  <w:b w:val="false"/>
                  <w:color w:val="000080"/>
                  <w:sz w:val="20"/>
                  <w:u w:val="single"/>
                </w:rPr>
                <w:t xml:space="preserve"> the</w:t>
              </w:r>
            </w:hyperlink>
            <w:hyperlink w:anchor="ex1039mdln-formofannualrsu.htm">
              <w:r>
                <w:rPr>
                  <w:rStyle w:val="InternetLink"/>
                  <w:rFonts w:ascii="Times New Roman;serif" w:hAnsi="Times New Roman;serif"/>
                  <w:b w:val="false"/>
                  <w:color w:val="000080"/>
                  <w:sz w:val="20"/>
                  <w:u w:val="single"/>
                </w:rPr>
                <w:t xml:space="preserve"> Medline Inc. 2025 Omnibus Incentive Plan.*† </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1040mdln-formofannualrsu.htm">
              <w:r>
                <w:rPr>
                  <w:rStyle w:val="InternetLink"/>
                  <w:rFonts w:ascii="Times New Roman;serif" w:hAnsi="Times New Roman;serif"/>
                  <w:b w:val="false"/>
                  <w:color w:val="000080"/>
                  <w:sz w:val="20"/>
                  <w:u w:val="single"/>
                </w:rPr>
                <w:t>Form of</w:t>
              </w:r>
            </w:hyperlink>
            <w:hyperlink w:anchor="ex1040mdln-formofannualrsu.htm">
              <w:r>
                <w:rPr>
                  <w:rStyle w:val="InternetLink"/>
                  <w:rFonts w:ascii="Times New Roman;serif" w:hAnsi="Times New Roman;serif"/>
                  <w:b w:val="false"/>
                  <w:color w:val="000080"/>
                  <w:sz w:val="20"/>
                  <w:u w:val="single"/>
                </w:rPr>
                <w:t xml:space="preserve"> Restricted Stock Unit Grant Notice and Agreement (Director) under</w:t>
              </w:r>
            </w:hyperlink>
            <w:hyperlink w:anchor="ex1040mdln-formofannualrsu.htm">
              <w:r>
                <w:rPr>
                  <w:rStyle w:val="InternetLink"/>
                  <w:rFonts w:ascii="Times New Roman;serif" w:hAnsi="Times New Roman;serif"/>
                  <w:b w:val="false"/>
                  <w:color w:val="000080"/>
                  <w:sz w:val="20"/>
                  <w:u w:val="single"/>
                </w:rPr>
                <w:t xml:space="preserve"> the</w:t>
              </w:r>
            </w:hyperlink>
            <w:hyperlink w:anchor="ex1040mdln-formofannualrsu.htm">
              <w:r>
                <w:rPr>
                  <w:rStyle w:val="InternetLink"/>
                  <w:rFonts w:ascii="Times New Roman;serif" w:hAnsi="Times New Roman;serif"/>
                  <w:b w:val="false"/>
                  <w:color w:val="000080"/>
                  <w:sz w:val="20"/>
                  <w:u w:val="single"/>
                </w:rPr>
                <w:t xml:space="preserve"> Medline Inc. 2025 Omnibus Incentive Plan.*†</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1041mdln-formofpsuawarda.htm">
              <w:r>
                <w:rPr>
                  <w:rStyle w:val="InternetLink"/>
                  <w:rFonts w:ascii="Times New Roman;serif" w:hAnsi="Times New Roman;serif"/>
                  <w:b w:val="false"/>
                  <w:color w:val="000080"/>
                  <w:sz w:val="20"/>
                  <w:u w:val="single"/>
                </w:rPr>
                <w:t xml:space="preserve">Form of </w:t>
              </w:r>
            </w:hyperlink>
            <w:hyperlink w:anchor="ex1041mdln-formofpsuawarda.htm">
              <w:r>
                <w:rPr>
                  <w:rStyle w:val="InternetLink"/>
                  <w:rFonts w:ascii="Times New Roman;serif" w:hAnsi="Times New Roman;serif"/>
                  <w:b w:val="false"/>
                  <w:color w:val="000080"/>
                  <w:sz w:val="20"/>
                  <w:u w:val="single"/>
                </w:rPr>
                <w:t xml:space="preserve">Performance Stock Unit Grant Notice and Agreement (Employee) under </w:t>
              </w:r>
            </w:hyperlink>
            <w:hyperlink w:anchor="ex1041mdln-formofpsuawarda.htm">
              <w:r>
                <w:rPr>
                  <w:rStyle w:val="InternetLink"/>
                  <w:rFonts w:ascii="Times New Roman;serif" w:hAnsi="Times New Roman;serif"/>
                  <w:b w:val="false"/>
                  <w:color w:val="000080"/>
                  <w:sz w:val="20"/>
                  <w:u w:val="single"/>
                </w:rPr>
                <w:t xml:space="preserve">the </w:t>
              </w:r>
            </w:hyperlink>
            <w:hyperlink w:anchor="ex1041mdln-formofpsuawarda.htm">
              <w:r>
                <w:rPr>
                  <w:rStyle w:val="InternetLink"/>
                  <w:rFonts w:ascii="Times New Roman;serif" w:hAnsi="Times New Roman;serif"/>
                  <w:b w:val="false"/>
                  <w:color w:val="000080"/>
                  <w:sz w:val="20"/>
                  <w:u w:val="single"/>
                </w:rPr>
                <w:t>Medline Inc. 2025 Omnibus Incentive Plan.*†</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1042mdln-formofconvertin.htm">
              <w:r>
                <w:rPr>
                  <w:rStyle w:val="InternetLink"/>
                  <w:rFonts w:ascii="Times New Roman;serif" w:hAnsi="Times New Roman;serif"/>
                  <w:b w:val="false"/>
                  <w:color w:val="000080"/>
                  <w:sz w:val="20"/>
                  <w:u w:val="single"/>
                </w:rPr>
                <w:t xml:space="preserve">Form of Converted Restricted Stock Unit Grant Notice and Agreement (Director) under </w:t>
              </w:r>
            </w:hyperlink>
            <w:hyperlink w:anchor="ex1042mdln-formofconvertin.htm">
              <w:r>
                <w:rPr>
                  <w:rStyle w:val="InternetLink"/>
                  <w:rFonts w:ascii="Times New Roman;serif" w:hAnsi="Times New Roman;serif"/>
                  <w:b w:val="false"/>
                  <w:color w:val="000080"/>
                  <w:sz w:val="20"/>
                  <w:u w:val="single"/>
                </w:rPr>
                <w:t xml:space="preserve">the </w:t>
              </w:r>
            </w:hyperlink>
            <w:hyperlink w:anchor="ex1042mdln-formofconvertin.htm">
              <w:r>
                <w:rPr>
                  <w:rStyle w:val="InternetLink"/>
                  <w:rFonts w:ascii="Times New Roman;serif" w:hAnsi="Times New Roman;serif"/>
                  <w:b w:val="false"/>
                  <w:color w:val="000080"/>
                  <w:sz w:val="20"/>
                  <w:u w:val="single"/>
                </w:rPr>
                <w:t>Medline Inc. 2025 Omnibus Incentive Plan.*†</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191insidertradingpolicy.htm">
              <w:r>
                <w:rPr>
                  <w:rStyle w:val="InternetLink"/>
                  <w:rFonts w:ascii="Times New Roman;serif" w:hAnsi="Times New Roman;serif"/>
                  <w:b w:val="false"/>
                  <w:color w:val="0000FF"/>
                  <w:sz w:val="20"/>
                  <w:u w:val="single"/>
                </w:rPr>
                <w:t>Medline Inc. Insider Trading Policy*</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211subsidiariesoftheregi.htm">
              <w:r>
                <w:rPr>
                  <w:rStyle w:val="InternetLink"/>
                  <w:rFonts w:ascii="Times New Roman;serif" w:hAnsi="Times New Roman;serif"/>
                  <w:b w:val="false"/>
                  <w:color w:val="000080"/>
                  <w:sz w:val="20"/>
                  <w:u w:val="single"/>
                </w:rPr>
                <w:t>Subsidiaries of the Registrant</w:t>
              </w:r>
            </w:hyperlink>
            <w:hyperlink w:anchor="ex211subsidiariesoftheregi.htm">
              <w:r>
                <w:rPr>
                  <w:rStyle w:val="InternetLink"/>
                  <w:rFonts w:ascii="Times New Roman;serif" w:hAnsi="Times New Roman;serif"/>
                  <w:b w:val="false"/>
                  <w:color w:val="000080"/>
                  <w:sz w:val="20"/>
                  <w:u w:val="single"/>
                </w:rPr>
                <w:t>*</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231ey-10xkconsent.htm">
              <w:r>
                <w:rPr>
                  <w:rStyle w:val="InternetLink"/>
                  <w:rFonts w:ascii="Times New Roman;serif" w:hAnsi="Times New Roman;serif"/>
                  <w:b w:val="false"/>
                  <w:color w:val="000080"/>
                  <w:sz w:val="20"/>
                  <w:u w:val="single"/>
                </w:rPr>
                <w:t xml:space="preserve">Consent of Ernst &amp; Young LLP as to Medline </w:t>
              </w:r>
            </w:hyperlink>
            <w:hyperlink w:anchor="ex231ey-10xkconsent.htm">
              <w:r>
                <w:rPr>
                  <w:rStyle w:val="InternetLink"/>
                  <w:rFonts w:ascii="Times New Roman;serif" w:hAnsi="Times New Roman;serif"/>
                  <w:b w:val="false"/>
                  <w:color w:val="000080"/>
                  <w:sz w:val="20"/>
                  <w:u w:val="single"/>
                </w:rPr>
                <w:t>Inc.</w:t>
              </w:r>
            </w:hyperlink>
            <w:hyperlink w:anchor="ex231ey-10xkconsent.htm">
              <w:r>
                <w:rPr>
                  <w:rStyle w:val="InternetLink"/>
                  <w:rFonts w:ascii="Times New Roman;serif" w:hAnsi="Times New Roman;serif"/>
                  <w:b w:val="false"/>
                  <w:color w:val="000080"/>
                  <w:sz w:val="20"/>
                  <w:u w:val="single"/>
                </w:rPr>
                <w:t>*</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i1cdc18ea91cf4e9db5b992dbaf20b1e9_1201">
              <w:r>
                <w:rPr>
                  <w:rStyle w:val="InternetLink"/>
                  <w:rFonts w:ascii="Times New Roman;serif" w:hAnsi="Times New Roman;serif"/>
                  <w:b w:val="false"/>
                  <w:color w:val="000080"/>
                  <w:sz w:val="20"/>
                  <w:u w:val="single"/>
                </w:rPr>
                <w:t>Power of Attorney (included in signature pages of this Annual Report)</w:t>
              </w:r>
            </w:hyperlink>
            <w:hyperlink w:anchor="i1cdc18ea91cf4e9db5b992dbaf20b1e9_1201">
              <w:r>
                <w:rPr>
                  <w:rStyle w:val="InternetLink"/>
                  <w:rFonts w:ascii="Times New Roman;serif" w:hAnsi="Times New Roman;serif"/>
                  <w:b w:val="false"/>
                  <w:color w:val="000080"/>
                  <w:sz w:val="20"/>
                  <w:u w:val="single"/>
                </w:rPr>
                <w:t>*</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11ceo2025section302cert.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12cfo2025section302cert.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21ceo2025section906cert.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22cfo2025section906cert.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971clawbackpolicy.htm">
              <w:r>
                <w:rPr>
                  <w:rStyle w:val="InternetLink"/>
                  <w:rFonts w:ascii="Times New Roman;serif" w:hAnsi="Times New Roman;serif"/>
                  <w:b w:val="false"/>
                  <w:color w:val="0000FF"/>
                  <w:sz w:val="20"/>
                  <w:u w:val="single"/>
                </w:rPr>
                <w:t>Medline Inc. Clawback Policy*†</w:t>
              </w:r>
            </w:hyperlink>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64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23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95250"/>
                <wp:effectExtent l="0" t="0" r="0" b="0"/>
                <wp:wrapNone/>
                <wp:docPr id="143" name="Frame14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141</w:t>
                      </w:r>
                    </w:p>
                  </w:txbxContent>
                </v:textbox>
                <w10:wrap type="none"/>
              </v:rect>
            </w:pict>
          </mc:Fallback>
        </mc:AlternateContent>
      </w:r>
    </w:p>
    <w:p>
      <w:pPr>
        <w:pStyle w:val="TextBody"/>
        <w:bidi w:val="0"/>
        <w:spacing w:before="0" w:after="0"/>
        <w:jc w:val="both"/>
        <w:rPr/>
      </w:pPr>
      <w:r>
        <w:rPr/>
      </w:r>
    </w:p>
    <w:tbl>
      <w:tblPr>
        <w:tblW w:w="7872"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1960"/>
        <w:gridCol w:w="1960"/>
        <w:gridCol w:w="2785"/>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670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670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Furnished herewith. The certifications attached as Exhibits 32.1 and 32.2 to this Annual Report are deemed furnished and not filed with the SEC and are not to be incorporated by reference into any filing of the Company under the Securities Act or the Exchange Act, whether made before or after the date of this Annual Report, irrespective of any general incorporation language contained in such filing.</w:t>
      </w:r>
    </w:p>
    <w:p>
      <w:pPr>
        <w:pStyle w:val="TextBody"/>
        <w:bidi w:val="0"/>
        <w:spacing w:lineRule="auto" w:line="333" w:before="0" w:after="0"/>
        <w:jc w:val="both"/>
        <w:rPr>
          <w:color w:val="000000"/>
        </w:rPr>
      </w:pPr>
      <w:r>
        <w:rPr>
          <w:color w:val="000000"/>
        </w:rPr>
        <w:t xml:space="preserve">† </w:t>
      </w:r>
      <w:r>
        <w:rPr>
          <w:rFonts w:ascii="Times New Roman;serif" w:hAnsi="Times New Roman;serif"/>
          <w:b w:val="false"/>
          <w:color w:val="000000"/>
          <w:sz w:val="20"/>
        </w:rPr>
        <w:t>Management contract or compensatory plan or arrangement.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95250"/>
                <wp:effectExtent l="0" t="0" r="0" b="0"/>
                <wp:wrapNone/>
                <wp:docPr id="144" name="Frame14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142</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bl>
      <w:tblPr>
        <w:tblW w:w="3296" w:type="dxa"/>
        <w:jc w:val="left"/>
        <w:tblInd w:w="0" w:type="dxa"/>
        <w:tblLayout w:type="fixed"/>
        <w:tblCellMar>
          <w:top w:w="28" w:type="dxa"/>
          <w:left w:w="28" w:type="dxa"/>
          <w:bottom w:w="28" w:type="dxa"/>
          <w:right w:w="28" w:type="dxa"/>
        </w:tblCellMar>
      </w:tblPr>
      <w:tblGrid>
        <w:gridCol w:w="265"/>
        <w:gridCol w:w="233"/>
        <w:gridCol w:w="233"/>
        <w:gridCol w:w="749"/>
        <w:gridCol w:w="749"/>
        <w:gridCol w:w="1067"/>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MEDLINE INC.</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8"/>
              </w:rPr>
              <w:t xml:space="preserve">/s/ </w:t>
            </w:r>
            <w:r>
              <w:rPr>
                <w:rFonts w:ascii="Times New Roman;serif" w:hAnsi="Times New Roman;serif"/>
                <w:b w:val="false"/>
                <w:i/>
                <w:color w:val="000000"/>
                <w:sz w:val="20"/>
              </w:rPr>
              <w:t>James M. Boyle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James M. Boyle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Each person whose signature appears below hereby constitutes and appoints James M. Boyle, Michael B. Drazin, and Alex M. Liberman, and each of them, any of whom may act without joinder of the other, the individual’s true and lawful attorneys-in-fact and agents, with full power of substitution and resubstitution, for the person and in their name, place and stead, in any and all capacities, to sign this Annual Report on Form 10-K and any or all amendments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as agents or any of them, or their substitute or substitutes, may lawfully do or cause to be done by virtue hereof. </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this report has been signed below by the following persons on behalf of the registrant and in the capacities and on the dates indicated. </w:t>
      </w:r>
    </w:p>
    <w:p>
      <w:pPr>
        <w:pStyle w:val="TextBody"/>
        <w:bidi w:val="0"/>
        <w:spacing w:before="0" w:after="0"/>
        <w:ind w:left="0" w:right="0" w:firstLine="490"/>
        <w:jc w:val="both"/>
        <w:rPr/>
      </w:pPr>
      <w:r>
        <w:rPr/>
      </w:r>
    </w:p>
    <w:tbl>
      <w:tblPr>
        <w:tblW w:w="6613" w:type="dxa"/>
        <w:jc w:val="left"/>
        <w:tblInd w:w="0" w:type="dxa"/>
        <w:tblLayout w:type="fixed"/>
        <w:tblCellMar>
          <w:top w:w="28" w:type="dxa"/>
          <w:left w:w="28" w:type="dxa"/>
          <w:bottom w:w="28" w:type="dxa"/>
          <w:right w:w="28" w:type="dxa"/>
        </w:tblCellMar>
      </w:tblPr>
      <w:tblGrid>
        <w:gridCol w:w="689"/>
        <w:gridCol w:w="606"/>
        <w:gridCol w:w="609"/>
        <w:gridCol w:w="1020"/>
        <w:gridCol w:w="1020"/>
        <w:gridCol w:w="1034"/>
        <w:gridCol w:w="477"/>
        <w:gridCol w:w="477"/>
        <w:gridCol w:w="681"/>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Signature</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Title</w:t>
            </w:r>
          </w:p>
        </w:tc>
        <w:tc>
          <w:tcPr>
            <w:tcW w:w="16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 xml:space="preserve">/s/ </w:t>
            </w:r>
            <w:r>
              <w:rPr>
                <w:rFonts w:ascii="Times New Roman;serif" w:hAnsi="Times New Roman;serif"/>
                <w:b w:val="false"/>
                <w:i/>
                <w:color w:val="000000"/>
                <w:sz w:val="20"/>
              </w:rPr>
              <w:t>James M. Boyle</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James M. Boyle</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Michael B. Drazin</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Michael B. Drazin</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Jessi L. Corcoran</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Principal Accounting Officer)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Jessi L. Corcoran</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Charles N. Mills</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Chair of the Board of Directors</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Charles N. Mills</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Joseph P. Baratta</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Joseph P. Baratta</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Jacob D. Best</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Jacob D. Best</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Todd M. Bluedorn</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Todd M. Bluedorn</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Richard A. Galanti</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Richard A. Galanti</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Patrick J. Healy</w:t>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Patrick J. Healy</w:t>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95250"/>
                <wp:effectExtent l="0" t="0" r="0" b="0"/>
                <wp:wrapNone/>
                <wp:docPr id="145" name="Frame14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143</w:t>
                      </w:r>
                    </w:p>
                  </w:txbxContent>
                </v:textbox>
                <w10:wrap type="none"/>
              </v:rect>
            </w:pict>
          </mc:Fallback>
        </mc:AlternateContent>
      </w:r>
    </w:p>
    <w:p>
      <w:pPr>
        <w:pStyle w:val="TextBody"/>
        <w:bidi w:val="0"/>
        <w:spacing w:before="0" w:after="0"/>
        <w:jc w:val="both"/>
        <w:rPr/>
      </w:pPr>
      <w:r>
        <w:rPr/>
      </w:r>
    </w:p>
    <w:tbl>
      <w:tblPr>
        <w:tblW w:w="4350" w:type="dxa"/>
        <w:jc w:val="left"/>
        <w:tblInd w:w="0" w:type="dxa"/>
        <w:tblLayout w:type="fixed"/>
        <w:tblCellMar>
          <w:top w:w="28" w:type="dxa"/>
          <w:left w:w="28" w:type="dxa"/>
          <w:bottom w:w="28" w:type="dxa"/>
          <w:right w:w="28" w:type="dxa"/>
        </w:tblCellMar>
      </w:tblPr>
      <w:tblGrid>
        <w:gridCol w:w="706"/>
        <w:gridCol w:w="620"/>
        <w:gridCol w:w="624"/>
        <w:gridCol w:w="255"/>
        <w:gridCol w:w="255"/>
        <w:gridCol w:w="256"/>
        <w:gridCol w:w="478"/>
        <w:gridCol w:w="478"/>
        <w:gridCol w:w="678"/>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Andrew J. Mills</w:t>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Andrew J. Mills</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Robert R. Schmidt</w:t>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Robert R. Schmidt</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Anushka M. Sunder</w:t>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Anushka M. Sunder</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Thomas W. Sweet</w:t>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Thomas W. Sweet</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Stephen H. Wise</w:t>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Stephen H. Wise</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4.13</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95250"/>
                <wp:effectExtent l="0" t="0" r="0" b="0"/>
                <wp:wrapNone/>
                <wp:docPr id="146" name="Frame14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144</w:t>
                      </w:r>
                    </w:p>
                  </w:txbxContent>
                </v:textbox>
                <w10:wrap type="none"/>
              </v:rect>
            </w:pict>
          </mc:Fallback>
        </mc:AlternateContent>
      </w:r>
    </w:p>
    <w:p>
      <w:pPr>
        <w:pStyle w:val="TextBody"/>
        <w:bidi w:val="0"/>
        <w:spacing w:before="0" w:after="0"/>
        <w:jc w:val="left"/>
        <w:rPr/>
      </w:pPr>
      <w:r>
        <w:rPr/>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DESCRIPTION OF SECURITIES REGISTERED PURSUANT TO SECTION 12 OF THE SECURITIES EXCHANGE ACT OF 1934</w:t>
      </w:r>
    </w:p>
    <w:p>
      <w:pPr>
        <w:pStyle w:val="TextBody"/>
        <w:bidi w:val="0"/>
        <w:spacing w:before="0" w:after="160"/>
        <w:jc w:val="left"/>
        <w:rPr/>
      </w:pPr>
      <w:r>
        <w:rPr/>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is a description of the capital stock of Medline Inc. (the “Company,” “we,” “us,” and “our”) and the material provisions of our amended and restated certificate of incorporation and our amended and restated bylaws and of the General Corporation Law of the State of Delaware (the “DGCL”). Our Class A common stock, par value $0.0001 per share (the “Class A common stock is the only security of the Company registered pursuant to Section 12 of the Securities Exchange Act of 1934, as amended (the “Exchange Act”). The following also contains a description of our Class B common stock, par value $0.0001 per share (the “Class B common stock”), which is not registered pursuant to Section 12 of the Exchange Act. The description of the Class B common stock is necessary to understand the material terms of the Class A common stock.</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description does not purport to be complete and is qualified in its entirety by reference to our amended and restated certificate of incorporation, our amended and restated bylaws, and the DGCL.</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General</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Our amended and restated certificate of incorporation authorizes the issuance of capital stock consisting of 50,000,000,000 shares of Class A common stock, 50,000,000,000 shares of Class B common stock, and 5,000,000,000 shares of preferred stock, par value $0.0001 per share. Unless our board of directors determines otherwise, we will issue all shares of our capital stock in uncertificated form.</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Common Stock</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Class A Common Stock</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All outstanding shares of our Class A common stock are fully paid and non-assessable. The Class A common stock are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Class B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shares of Class B common stock have no economic rights. Holders of shares of our Class B common stock are entitled to one vote for each share held of record on all matters on which stockholders are entitled to vote generally, including the election and removal of directors. Upon the occurrence of any split or combination of the Common Units (defined below), the issued shares of our Class B common stock will be automatically split or combined into a greater or lesser number of shares of our Class B common stock at the same ratio as such split or combination of the Common Units. Additionally, other than as the result of a split or combination for which an adjustment has been made as outlined in the foregoing sentence, if at any time the ratio at which Common Units are exchangeable for shares of our Class A common stock changes from one-for-one, the number of votes to which holders of our Class B common stock are entitled will be adjusted accordingly. The holders of our Class B common stock do not have cumulative voting rights in the election of directors.</w:t>
      </w:r>
    </w:p>
    <w:p>
      <w:pPr>
        <w:pStyle w:val="TextBody"/>
        <w:bidi w:val="0"/>
        <w:spacing w:lineRule="auto" w:line="321" w:before="0" w:after="160"/>
        <w:jc w:val="left"/>
        <w:rPr/>
      </w:pPr>
      <w:r>
        <w:rPr>
          <w:color w:val="000000"/>
        </w:rPr>
        <w:t> </w:t>
      </w:r>
      <w:r>
        <w:rPr>
          <w:rFonts w:ascii="Times New Roman;serif" w:hAnsi="Times New Roman;serif"/>
          <w:b w:val="false"/>
          <w:color w:val="000000"/>
          <w:sz w:val="22"/>
        </w:rPr>
        <w:t>In connection with our initial public offering, we issued one share of Class B common stock for each common unit of Medline Holdings, LP (the “Common Units”) held by our Continuing Unitholders (as defined below), and, upon conversion of vested incentive units of Medline Holdings, LP (the “Incentive Units”) for Common Units, the converting holders will also receive an equivalent number of shares of Class B common stock. Upon an exchange by any such Continuing Unitholder of Common Units for shares of our Class A common stock pursuant to the Exchange Agreement, dated December 16, 2025, by and among the Company, Medline Holdings, LP and the holders of Common Unit holders, an equivalent number of shares of Class B common stock held by each such Continuing Unitholder will be automatically transferred to us and cancelled and retired.</w:t>
      </w:r>
      <w:r>
        <w:rPr>
          <w:color w:val="000000"/>
        </w:rPr>
        <w:t xml:space="preserve"> “</w:t>
      </w:r>
      <w:r>
        <w:rPr>
          <w:rFonts w:ascii="Times New Roman;serif" w:hAnsi="Times New Roman;serif"/>
          <w:b w:val="false"/>
          <w:color w:val="000000"/>
          <w:sz w:val="22"/>
        </w:rPr>
        <w:t>Continuing Unitholder” means collectively, the holders of Common Units and Incentive Units and our Class B common stock, any successor entities thereto.</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Holders of shares of our Class B common stock will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Our amended and restated certificate of incorporation does not provide for any restrictions on transfer of shares of Class B common stock other than:</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15"/>
        <w:gridCol w:w="2639"/>
        <w:gridCol w:w="3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provisions requiring an automatic transfer of shares of Class B common stock to us upon an exchange of the Common Units associated with such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provisions requiring that the holder will not transfer shares of Class B common stock to any person (other than the Company) unless the holder transfers an equal number of Common Units to the same person directly or indirectly via a transfer of interests in the Medline Management Aggregator LLC or any successor entity;</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provisions requiring that, in the event the holder transfers Common Units to any person, the holder transfer an equal number of shares of Class B common stock to the same person.</w:t>
            </w:r>
          </w:p>
        </w:tc>
      </w:tr>
    </w:tbl>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All outstanding shares of our Class B common stock are fully paid and non-assessable. The Class B common stock are not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holders of our Class B common stock will be subject to those of the holders of any shares of our preferred stock or any other series or class of stock we may authorize and issue in the future.</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Mills Family Voting Cap</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Mills Family and their affiliates are not entitled to cast votes, or provide consent, with respect to any shares of capital stock of Medline Inc. owned by them representing, in the aggregate, more than 20% of the total number of votes entitled to be cast (or as to which consents may be delivered) by the holders of all shares of capital stock of Medline Inc. outstanding and entitled to vote (or provide consent) in respect of any matter (the “Mills Family Voting Cap”). Any shares owned by such holders in excess of the Mills Family Voting Cap will not have any voting power on any such matter (and, accordingly, shall be deemed not to be outstanding for purposes of determining a quorum or for purposes of determining the shares entitled to vote at any such meeting or to provide consent in lieu of a meeting of stockholders), with the application of the loss of voting power allocated among such holders pro rata in accordance with the shares of the Company’s capital stock owned thereby.</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Preferred Stock</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294"/>
        <w:gridCol w:w="2443"/>
        <w:gridCol w:w="3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designation of the series;</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whether dividends, if any, will be cumulative or non-cumulative and the dividend rate of the series;</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dates at which dividends, if any, will be payable on shares of such series;</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redemption rights and price or prices, if any, for shares of the series;</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terms and amounts of any sinking fund provided for the purchase or redemption of shares of the series;</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amounts payable on shares of the series in the event of any voluntary or involuntary liquidation, dissolution or winding-up of our affairs or other event;</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restrictions on the issuance of shares of the same series or of any other class or series of our capital stock; and</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voting powers, if any, of the holders of the series.</w:t>
            </w:r>
          </w:p>
        </w:tc>
      </w:tr>
    </w:tbl>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Dividends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Declaration and payment of any dividend will be subject to the discretion of our board of directors. 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 Holders of our Class B common stock are not entitled to receive dividends (other than dividends payable in the form of additional shares of Class B common stock)or to receive a distribution upon a liquidation, dissolution, or winding up of the Company.</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Annual Stockholder Meetings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Anti-Takeover Effects of Our Amended and Restated Certificate of Incorporation and Amended and Restated Bylaws and Certain Provisions of Delaware Law</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Authorized but Unissued Capital Stock</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 law does not require stockholder approval for any issuance of shares that are authorized and available for issuance. However, the listing requirements of Nasdaq, which would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Our board of directors may generally issue shares of one or more series of preferred stock on terms designed to discourage, delay, or prevent a change of control of the Company or the removal of our management.</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to fund employee benefit plans.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Business Combinations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95"/>
        <w:gridCol w:w="2657"/>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prior to such time, our board of directors approved either the business combination or the transaction that resulted in the stockholder becoming an interested stockholder;</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upon consummation of the transaction that resulted in the stockholder becoming an interested stockholder, the interested stockholder owned at least 85% of our voting stock outstanding at the time the transaction commenced, excluding certain shares; or</w:t>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pPr>
            <w:r>
              <w:rPr>
                <w:rFonts w:ascii="Times New Roman;serif" w:hAnsi="Times New Roman;serif"/>
                <w:b w:val="false"/>
                <w:color w:val="000000"/>
                <w:sz w:val="22"/>
              </w:rPr>
              <w:t>at or subsequent to that time, the business combination is approved by our board of directors and by the affirmative vote of holders of at least 66</w:t>
            </w:r>
            <w:r>
              <w:rPr>
                <w:rFonts w:ascii="Times New Roman;serif" w:hAnsi="Times New Roman;serif"/>
                <w:b w:val="false"/>
                <w:color w:val="000000"/>
                <w:sz w:val="14"/>
              </w:rPr>
              <w:t>2</w:t>
            </w:r>
            <w:r>
              <w:rPr>
                <w:rFonts w:ascii="Times New Roman;serif" w:hAnsi="Times New Roman;serif"/>
                <w:b w:val="false"/>
                <w:color w:val="000000"/>
                <w:sz w:val="22"/>
              </w:rPr>
              <w:t>/</w:t>
            </w:r>
            <w:r>
              <w:rPr>
                <w:rFonts w:ascii="Times New Roman;serif" w:hAnsi="Times New Roman;serif"/>
                <w:b w:val="false"/>
                <w:color w:val="000000"/>
                <w:sz w:val="14"/>
              </w:rPr>
              <w:t>3</w:t>
            </w:r>
            <w:r>
              <w:rPr>
                <w:rFonts w:ascii="Times New Roman;serif" w:hAnsi="Times New Roman;serif"/>
                <w:b w:val="false"/>
                <w:color w:val="000000"/>
                <w:sz w:val="22"/>
              </w:rPr>
              <w:t>% of our outstanding voting stock that is not owned by the interested stockholder.</w:t>
            </w:r>
          </w:p>
        </w:tc>
      </w:tr>
    </w:tbl>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entitled to vote generally in the election of directors. References to a percentage of voting stock in this section refer to the percentage of the votes of such voting stock.</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Our amended and restated certificate of incorporation provides that our Designating Stockholders (as defined in the director nomination agreements to which the Company is a party) and their affiliates, and any of their respective direct or indirect transferees, and any group as to which such persons are a party, do not constitute “interested stockholders” for purposes of this provision.</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No Cumulative Voting</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Special Stockholder Meetings</w:t>
      </w:r>
    </w:p>
    <w:p>
      <w:pPr>
        <w:pStyle w:val="TextBody"/>
        <w:bidi w:val="0"/>
        <w:spacing w:lineRule="auto" w:line="321" w:before="0" w:after="160"/>
        <w:jc w:val="left"/>
        <w:rPr/>
      </w:pPr>
      <w:r>
        <w:rPr>
          <w:rFonts w:ascii="Times New Roman;serif" w:hAnsi="Times New Roman;serif"/>
          <w:b w:val="false"/>
          <w:color w:val="000000"/>
          <w:sz w:val="22"/>
        </w:rPr>
        <w:t>Our amended and restated certificate of incorporation provides that special meetings of our stockholders may be called at any time only by or at the direction of the board of directors, the chair of our board, or the chief executive officer; </w:t>
      </w:r>
      <w:r>
        <w:rPr>
          <w:rFonts w:ascii="Times New Roman;serif" w:hAnsi="Times New Roman;serif"/>
          <w:b w:val="false"/>
          <w:i/>
          <w:color w:val="000000"/>
          <w:sz w:val="22"/>
        </w:rPr>
        <w:t>provided, however,</w:t>
      </w:r>
      <w:r>
        <w:rPr>
          <w:color w:val="000000"/>
        </w:rPr>
        <w:t> </w:t>
      </w:r>
      <w:r>
        <w:rPr>
          <w:rFonts w:ascii="Times New Roman;serif" w:hAnsi="Times New Roman;serif"/>
          <w:b w:val="false"/>
          <w:color w:val="000000"/>
          <w:sz w:val="22"/>
        </w:rPr>
        <w:t>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Director Nominations and Stockholder Proposals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the director nomination agreements so long as the relevant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pStyle w:val="TextBody"/>
        <w:bidi w:val="0"/>
        <w:spacing w:lineRule="auto" w:line="321" w:before="0" w:after="160"/>
        <w:jc w:val="left"/>
        <w:rPr>
          <w:rFonts w:ascii="Times New Roman;serif" w:hAnsi="Times New Roman;serif"/>
          <w:b/>
          <w:i/>
          <w:color w:val="000000"/>
          <w:sz w:val="22"/>
        </w:rPr>
      </w:pPr>
      <w:r>
        <w:rPr>
          <w:rFonts w:ascii="Times New Roman;serif" w:hAnsi="Times New Roman;serif"/>
          <w:b/>
          <w:i/>
          <w:color w:val="000000"/>
          <w:sz w:val="22"/>
        </w:rPr>
        <w:t>Stockholder Action by Consent</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 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Dissenters’ Rights of Appraisal and Payment</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Under the DGCL, with certain exceptions, our stockholders will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will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Stockholders’ Derivative Actions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Exclusive Forum</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To prevent having to litigate claims in multiple jurisdictions and the threat of inconsistent or contrary rulings by different courts, among other considerations, our amended and restated certificate of incorporation includes forum selection provisions.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investors will not be deemed to have waived compliance with the federal securities laws and the rules and regulations thereunder as a result of our forum selection provisions.</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Conflicts of Interest</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affiliates who are our or our subsidiaries’ employees. As a consequence of this waiver, the investment funds associated with Blackstone Inc. ("Blackstone), The Carlyle Group Inc. ("Carlyle") and Hellman &amp; Friedman LLC (together with Blackstone and Carlyle, our "Sponsors"), the Mills Family, and subject to limited exceptions, any of their respective affiliates and any of our directors who are not employed by us (including any non-employee director who serves as one of our officers in both their director and officer capacities) or their affiliates will not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will enter into with the Designating Stockholders will also contain provisions providing the Designating Stockholders with access to our corporate information.</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Limitations on Liability and Indemnification of Officers and Directors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We have entered into, and expect to continue to enter into, indemnification agreements with each of our directors and executive officers. The indemnification agreements, together with our amended and restated bylaws, provide that we will indemnify our directors and officers to the fullest extent permitted by the DGCL, subject to limited exceptions. The indemnification agreements, together with our amended and restated bylaws, also require us to advance expenses, including attorneys’ fees, incurred by our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and officers in defending against proceedings to which they are or are threatened to be made a party or participant, to the fullest extent permitted by law, subject to limited exceptions.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Transfer Agent and Registrar</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transfer agent and registrar for shares of our Class A common stock is Equiniti Trust Company, LLC.</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Listing</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Our Class A common stock is listed on the Nasdaq Global Select Market under the symbol “MDLN.”</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10"/>
        <w:jc w:val="right"/>
        <w:rPr>
          <w:rFonts w:ascii="Times New Roman;serif" w:hAnsi="Times New Roman;serif"/>
          <w:b/>
          <w:color w:val="000000"/>
          <w:sz w:val="22"/>
        </w:rPr>
      </w:pPr>
      <w:r>
        <w:rPr>
          <w:rFonts w:ascii="Times New Roman;serif" w:hAnsi="Times New Roman;serif"/>
          <w:b/>
          <w:color w:val="000000"/>
          <w:sz w:val="22"/>
        </w:rPr>
        <w:t>Exhibit 10.30</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13"/>
        <w:jc w:val="center"/>
        <w:rPr>
          <w:rFonts w:ascii="Times New Roman;serif" w:hAnsi="Times New Roman;serif"/>
          <w:b/>
          <w:color w:val="000000"/>
          <w:sz w:val="29"/>
        </w:rPr>
      </w:pPr>
      <w:r>
        <w:rPr>
          <w:rFonts w:ascii="Times New Roman;serif" w:hAnsi="Times New Roman;serif"/>
          <w:b/>
          <w:color w:val="000000"/>
          <w:sz w:val="29"/>
        </w:rPr>
        <w:t>AMENDED &amp; RESTATED MEDLINE INC.</w:t>
      </w:r>
    </w:p>
    <w:p>
      <w:pPr>
        <w:pStyle w:val="TextBody"/>
        <w:bidi w:val="0"/>
        <w:spacing w:lineRule="auto" w:line="300" w:before="0" w:after="213"/>
        <w:ind w:left="0" w:right="0" w:hanging="10"/>
        <w:jc w:val="center"/>
        <w:rPr>
          <w:rFonts w:ascii="Times New Roman;serif" w:hAnsi="Times New Roman;serif"/>
          <w:b/>
          <w:color w:val="000000"/>
          <w:sz w:val="29"/>
        </w:rPr>
      </w:pPr>
      <w:r>
        <w:rPr>
          <w:rFonts w:ascii="Times New Roman;serif" w:hAnsi="Times New Roman;serif"/>
          <w:b/>
          <w:color w:val="000000"/>
          <w:sz w:val="29"/>
        </w:rPr>
        <w:t>EXECUTIVE SEVERANCE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center"/>
        <w:rPr/>
      </w:pPr>
      <w:r>
        <w:rPr>
          <w:rFonts w:ascii="Times New Roman;serif" w:hAnsi="Times New Roman;serif"/>
          <w:b/>
          <w:color w:val="000000"/>
          <w:sz w:val="24"/>
        </w:rPr>
        <w:t>AMENDED &amp; RESTATED MEDLINE INC.</w:t>
      </w:r>
      <w:r>
        <w:rPr>
          <w:rFonts w:ascii="Times New Roman;serif" w:hAnsi="Times New Roman;serif"/>
          <w:b w:val="false"/>
          <w:color w:val="000000"/>
          <w:sz w:val="24"/>
        </w:rPr>
        <w:br/>
      </w:r>
      <w:r>
        <w:rPr>
          <w:rFonts w:ascii="Times New Roman;serif" w:hAnsi="Times New Roman;serif"/>
          <w:b/>
          <w:color w:val="000000"/>
          <w:sz w:val="24"/>
        </w:rPr>
        <w:t>EXECUTIVE SEVERANCE PLAN</w:t>
      </w:r>
    </w:p>
    <w:p>
      <w:pPr>
        <w:pStyle w:val="TextBody"/>
        <w:bidi w:val="0"/>
        <w:spacing w:lineRule="auto" w:line="288" w:before="240" w:after="240"/>
        <w:ind w:left="0" w:right="0" w:hanging="10"/>
        <w:jc w:val="center"/>
        <w:rPr>
          <w:rFonts w:ascii="Garamond;serif" w:hAnsi="Garamond;serif"/>
          <w:b/>
          <w:color w:val="000000"/>
          <w:sz w:val="24"/>
        </w:rPr>
      </w:pPr>
      <w:r>
        <w:rPr>
          <w:rFonts w:ascii="Garamond;serif" w:hAnsi="Garamond;serif"/>
          <w:b/>
          <w:color w:val="000000"/>
          <w:sz w:val="24"/>
        </w:rPr>
        <w:t>TABLE OF CONTENTS</w:t>
      </w:r>
    </w:p>
    <w:p>
      <w:pPr>
        <w:pStyle w:val="TextBody"/>
        <w:bidi w:val="0"/>
        <w:spacing w:lineRule="auto" w:line="288" w:before="0" w:after="240"/>
        <w:ind w:left="0" w:right="0" w:hanging="10"/>
        <w:jc w:val="right"/>
        <w:rPr>
          <w:rFonts w:ascii="Garamond;serif" w:hAnsi="Garamond;serif"/>
          <w:b/>
          <w:color w:val="000000"/>
          <w:sz w:val="24"/>
          <w:u w:val="single"/>
        </w:rPr>
      </w:pPr>
      <w:r>
        <w:rPr>
          <w:rFonts w:ascii="Garamond;serif" w:hAnsi="Garamond;serif"/>
          <w:b/>
          <w:color w:val="000000"/>
          <w:sz w:val="24"/>
          <w:u w:val="single"/>
        </w:rPr>
        <w:t>Page</w:t>
      </w:r>
    </w:p>
    <w:p>
      <w:pPr>
        <w:pStyle w:val="TextBody"/>
        <w:bidi w:val="0"/>
        <w:spacing w:lineRule="auto" w:line="288" w:before="240" w:after="240"/>
        <w:ind w:left="0" w:right="0" w:hanging="720"/>
        <w:jc w:val="both"/>
        <w:rPr/>
      </w:pPr>
      <w:hyperlink w:anchor="i2c6b593db86440949b58821a5b7565b7_48">
        <w:r>
          <w:rPr>
            <w:rStyle w:val="InternetLink"/>
            <w:rFonts w:ascii="Times New Roman;serif" w:hAnsi="Times New Roman;serif"/>
            <w:b/>
            <w:color w:val="0563C1"/>
            <w:sz w:val="22"/>
            <w:u w:val="single"/>
          </w:rPr>
          <w:t>II.</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ELIGIBILITY; DEFINED TERMS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2</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1.</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General Eligibility</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2</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2.</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Separation Agreement and Release Requirement</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2</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3.</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Certain Definitions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2</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4.</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Limitations on Severance Benefits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4</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5.</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Clawback</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4</w:t>
        </w:r>
      </w:hyperlink>
    </w:p>
    <w:p>
      <w:pPr>
        <w:pStyle w:val="TextBody"/>
        <w:bidi w:val="0"/>
        <w:spacing w:lineRule="auto" w:line="288" w:before="240" w:after="240"/>
        <w:ind w:left="0" w:right="0" w:hanging="720"/>
        <w:jc w:val="both"/>
        <w:rPr/>
      </w:pPr>
      <w:hyperlink w:anchor="i2c6b593db86440949b58821a5b7565b7_48">
        <w:r>
          <w:rPr>
            <w:rStyle w:val="InternetLink"/>
            <w:rFonts w:ascii="Times New Roman;serif" w:hAnsi="Times New Roman;serif"/>
            <w:b/>
            <w:color w:val="0563C1"/>
            <w:sz w:val="22"/>
            <w:u w:val="single"/>
          </w:rPr>
          <w:t>III.</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SEVERANCE BENEFITS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4</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1.</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Accrued Obligations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5</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2.</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Severance Benefits Upon a Qualifying Separation Outside the CIC Protection Period</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6</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3.</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Severance Benefits Upon a Qualifying Separation During the CIC Protection Period</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6</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4.</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Termination Due to Death or Disability</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7</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5.</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Equity Awards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7</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6.</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Set-Off; Mitigation</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7</w:t>
        </w:r>
      </w:hyperlink>
    </w:p>
    <w:p>
      <w:pPr>
        <w:pStyle w:val="TextBody"/>
        <w:bidi w:val="0"/>
        <w:spacing w:lineRule="auto" w:line="288" w:before="240" w:after="240"/>
        <w:ind w:left="0" w:right="0" w:hanging="720"/>
        <w:jc w:val="both"/>
        <w:rPr/>
      </w:pPr>
      <w:hyperlink w:anchor="i2c6b593db86440949b58821a5b7565b7_48">
        <w:r>
          <w:rPr>
            <w:rStyle w:val="InternetLink"/>
            <w:rFonts w:ascii="Times New Roman;serif" w:hAnsi="Times New Roman;serif"/>
            <w:b/>
            <w:color w:val="0563C1"/>
            <w:sz w:val="22"/>
            <w:u w:val="single"/>
          </w:rPr>
          <w:t>IV.</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RESTRICTIVE COVENANT AGREEMENTS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7</w:t>
        </w:r>
      </w:hyperlink>
    </w:p>
    <w:p>
      <w:pPr>
        <w:pStyle w:val="TextBody"/>
        <w:bidi w:val="0"/>
        <w:spacing w:lineRule="auto" w:line="288" w:before="240" w:after="240"/>
        <w:ind w:left="0" w:right="0" w:hanging="720"/>
        <w:jc w:val="both"/>
        <w:rPr/>
      </w:pPr>
      <w:hyperlink w:anchor="i2c6b593db86440949b58821a5b7565b7_48">
        <w:r>
          <w:rPr>
            <w:rStyle w:val="InternetLink"/>
            <w:rFonts w:ascii="Times New Roman;serif" w:hAnsi="Times New Roman;serif"/>
            <w:b/>
            <w:color w:val="0563C1"/>
            <w:sz w:val="22"/>
            <w:u w:val="single"/>
          </w:rPr>
          <w:t>V.</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ADMINISTRATION</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8</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1.</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Plan Administrator</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8</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2.</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Powers and Duties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8</w:t>
        </w:r>
      </w:hyperlink>
    </w:p>
    <w:p>
      <w:pPr>
        <w:pStyle w:val="TextBody"/>
        <w:bidi w:val="0"/>
        <w:spacing w:lineRule="auto" w:line="288" w:before="240" w:after="240"/>
        <w:ind w:left="0" w:right="0" w:hanging="720"/>
        <w:jc w:val="both"/>
        <w:rPr/>
      </w:pPr>
      <w:hyperlink w:anchor="i2c6b593db86440949b58821a5b7565b7_48">
        <w:r>
          <w:rPr>
            <w:rStyle w:val="InternetLink"/>
            <w:rFonts w:ascii="Times New Roman;serif" w:hAnsi="Times New Roman;serif"/>
            <w:b/>
            <w:color w:val="0563C1"/>
            <w:sz w:val="22"/>
            <w:u w:val="single"/>
          </w:rPr>
          <w:t>VI.</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CLAIMS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8</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1.</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Claim</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8</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2.</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Claim Decision</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8</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3.</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Request for Review</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9</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4.</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Review of Decision</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9</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5.</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Exhaustion of Administrative Remedies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10</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6.</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Plan Administrator’s Authority</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10</w:t>
        </w:r>
      </w:hyperlink>
    </w:p>
    <w:p>
      <w:pPr>
        <w:pStyle w:val="TextBody"/>
        <w:bidi w:val="0"/>
        <w:spacing w:lineRule="auto" w:line="288" w:before="240" w:after="240"/>
        <w:ind w:left="0" w:right="0" w:hanging="720"/>
        <w:jc w:val="both"/>
        <w:rPr/>
      </w:pPr>
      <w:hyperlink w:anchor="i2c6b593db86440949b58821a5b7565b7_48">
        <w:r>
          <w:rPr>
            <w:rStyle w:val="InternetLink"/>
            <w:rFonts w:ascii="Times New Roman;serif" w:hAnsi="Times New Roman;serif"/>
            <w:b/>
            <w:color w:val="0563C1"/>
            <w:sz w:val="22"/>
            <w:u w:val="single"/>
          </w:rPr>
          <w:t>VII.</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GENERAL PROVISIONS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11</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1.</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Amendment or Termination</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11</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2.</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No Assignment of Benefits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11</w:t>
        </w:r>
      </w:hyperlink>
    </w:p>
    <w:p>
      <w:pPr>
        <w:pStyle w:val="TextBody"/>
        <w:bidi w:val="0"/>
        <w:spacing w:lineRule="auto" w:line="288"/>
        <w:ind w:left="0" w:right="0" w:hanging="720"/>
        <w:jc w:val="both"/>
        <w:rPr/>
      </w:pPr>
      <w:hyperlink w:anchor="i2c6b593db86440949b58821a5b7565b7_48">
        <w:r>
          <w:rPr>
            <w:rStyle w:val="InternetLink"/>
            <w:rFonts w:ascii="Times New Roman;serif" w:hAnsi="Times New Roman;serif"/>
            <w:b/>
            <w:color w:val="0563C1"/>
            <w:sz w:val="22"/>
            <w:u w:val="single"/>
          </w:rPr>
          <w:t>3.</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Section 409A</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11</w:t>
        </w:r>
      </w:hyperlink>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4.</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Unfunded Plan</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11</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5.</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No Trust Created</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11</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6.</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Offset</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11</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7.</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Withholding of Taxes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12</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8.</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No Guarantee of Employment or Other Benefits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12</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9.</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Governing Law</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12</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10.</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Notices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12</w:t>
        </w:r>
      </w:hyperlink>
    </w:p>
    <w:p>
      <w:pPr>
        <w:pStyle w:val="TextBody"/>
        <w:bidi w:val="0"/>
        <w:spacing w:lineRule="auto" w:line="288" w:before="0" w:after="0"/>
        <w:ind w:left="0" w:right="0" w:hanging="720"/>
        <w:jc w:val="both"/>
        <w:rPr/>
      </w:pPr>
      <w:hyperlink w:anchor="i2c6b593db86440949b58821a5b7565b7_48">
        <w:r>
          <w:rPr>
            <w:rStyle w:val="InternetLink"/>
            <w:rFonts w:ascii="Times New Roman;serif" w:hAnsi="Times New Roman;serif"/>
            <w:b/>
            <w:color w:val="0563C1"/>
            <w:sz w:val="22"/>
            <w:u w:val="single"/>
          </w:rPr>
          <w:t>11.</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color w:val="0563C1"/>
            <w:sz w:val="22"/>
            <w:u w:val="single"/>
          </w:rPr>
          <w:t>Plan Controls.</w:t>
        </w:r>
      </w:hyperlink>
      <w:hyperlink w:anchor="i2c6b593db86440949b58821a5b7565b7_48">
        <w:r>
          <w:rPr>
            <w:rStyle w:val="InternetLink"/>
            <w:strike w:val="false"/>
            <w:dstrike w:val="false"/>
            <w:color w:val="000000"/>
            <w:u w:val="none"/>
            <w:effect w:val="none"/>
          </w:rPr>
          <w:t>    </w:t>
        </w:r>
      </w:hyperlink>
      <w:hyperlink w:anchor="i2c6b593db86440949b58821a5b7565b7_48">
        <w:r>
          <w:rPr>
            <w:rStyle w:val="InternetLink"/>
            <w:rFonts w:ascii="Times New Roman;serif" w:hAnsi="Times New Roman;serif"/>
            <w:b/>
            <w:strike w:val="false"/>
            <w:dstrike w:val="false"/>
            <w:color w:val="000000"/>
            <w:sz w:val="22"/>
            <w:u w:val="none"/>
            <w:effect w:val="none"/>
          </w:rPr>
          <w:t>12</w:t>
        </w:r>
      </w:hyperlink>
    </w:p>
    <w:p>
      <w:pPr>
        <w:pStyle w:val="TextBody"/>
        <w:bidi w:val="0"/>
        <w:spacing w:before="0" w:after="3"/>
        <w:ind w:left="0" w:right="0" w:hanging="1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lineRule="auto" w:line="300" w:before="0" w:after="240"/>
        <w:ind w:left="0" w:right="0" w:hanging="10"/>
        <w:jc w:val="center"/>
        <w:rPr/>
      </w:pPr>
      <w:r>
        <w:rPr>
          <w:rFonts w:ascii="Times New Roman;serif" w:hAnsi="Times New Roman;serif"/>
          <w:b/>
          <w:color w:val="000000"/>
          <w:sz w:val="22"/>
        </w:rPr>
        <w:t xml:space="preserve">AMENDED &amp; RESTATED MEDLINE INC. </w:t>
      </w:r>
      <w:r>
        <w:rPr>
          <w:rFonts w:ascii="Times New Roman;serif" w:hAnsi="Times New Roman;serif"/>
          <w:b w:val="false"/>
          <w:color w:val="000000"/>
          <w:sz w:val="22"/>
        </w:rPr>
        <w:br/>
      </w:r>
      <w:r>
        <w:rPr>
          <w:rFonts w:ascii="Times New Roman;serif" w:hAnsi="Times New Roman;serif"/>
          <w:b/>
          <w:color w:val="000000"/>
          <w:sz w:val="22"/>
        </w:rPr>
        <w:t>EXECUTIVE SEVERANCE PLAN</w:t>
        <w:br/>
        <w:t>(AS OF DECEMBER 16, 2025)</w:t>
      </w:r>
    </w:p>
    <w:p>
      <w:pPr>
        <w:pStyle w:val="TextBody"/>
        <w:bidi w:val="0"/>
        <w:spacing w:lineRule="auto" w:line="240" w:before="0" w:after="240"/>
        <w:jc w:val="center"/>
        <w:rPr/>
      </w:pPr>
      <w:r>
        <w:rPr>
          <w:rFonts w:ascii="Times New Roman;serif" w:hAnsi="Times New Roman;serif"/>
          <w:b/>
          <w:color w:val="000000"/>
          <w:sz w:val="22"/>
        </w:rPr>
        <w:t>I.</w:t>
      </w:r>
      <w:r>
        <w:rPr>
          <w:rFonts w:ascii="Times New Roman;serif" w:hAnsi="Times New Roman;serif"/>
          <w:b/>
          <w:color w:val="000000"/>
          <w:sz w:val="22"/>
          <w:u w:val="single"/>
        </w:rPr>
        <w:t>INTRODUCTION</w:t>
      </w:r>
    </w:p>
    <w:p>
      <w:pPr>
        <w:pStyle w:val="TextBody"/>
        <w:bidi w:val="0"/>
        <w:spacing w:lineRule="auto" w:line="292" w:before="0" w:after="240"/>
        <w:ind w:left="0" w:right="0" w:hanging="10"/>
        <w:jc w:val="both"/>
        <w:rPr/>
      </w:pPr>
      <w:r>
        <w:rPr>
          <w:rFonts w:ascii="Times New Roman;serif" w:hAnsi="Times New Roman;serif"/>
          <w:b w:val="false"/>
          <w:color w:val="000000"/>
          <w:sz w:val="22"/>
        </w:rPr>
        <w:t>Medline Inc. (and any successor thereto,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has established the Amended &amp; Restated Medline Inc. Executive Severance Plan (this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to provide severance and other benefits to select executives of the Company who have executed a Participation Letter (as defined below). The purpose of this Plan is to provide assurances of specified benefits to executive-level employees of the Company who are eligible to participate as set forth under this Plan and who are members of a select group of management or highly compensated employees (as determined in accordance with Sections 201(2), 301(a)(3) and 401(a)(1) of Employee Retirement Income Security Act of 1974, as amended (“</w:t>
      </w:r>
      <w:r>
        <w:rPr>
          <w:rFonts w:ascii="Times New Roman;serif" w:hAnsi="Times New Roman;serif"/>
          <w:b w:val="false"/>
          <w:color w:val="000000"/>
          <w:sz w:val="22"/>
          <w:u w:val="single"/>
        </w:rPr>
        <w:t>ERISA</w:t>
      </w:r>
      <w:r>
        <w:rPr>
          <w:color w:val="000000"/>
        </w:rPr>
        <w:t>”</w:t>
      </w:r>
      <w:r>
        <w:rPr>
          <w:rFonts w:ascii="Times New Roman;serif" w:hAnsi="Times New Roman;serif"/>
          <w:b w:val="false"/>
          <w:color w:val="000000"/>
          <w:sz w:val="22"/>
        </w:rPr>
        <w:t>)) in the event their employment is terminated under the circumstances described in this Plan. This Plan is intended to be a “top-hat” pension benefit plan within the meaning of U.S. Department of Labor Regulation Section 2520.104-23.</w:t>
      </w:r>
    </w:p>
    <w:p>
      <w:pPr>
        <w:pStyle w:val="TextBody"/>
        <w:bidi w:val="0"/>
        <w:spacing w:lineRule="auto" w:line="292" w:before="0" w:after="240"/>
        <w:ind w:left="0" w:right="0" w:hanging="10"/>
        <w:jc w:val="both"/>
        <w:rPr/>
      </w:pPr>
      <w:r>
        <w:rPr>
          <w:rFonts w:ascii="Times New Roman;serif" w:hAnsi="Times New Roman;serif"/>
          <w:b w:val="false"/>
          <w:color w:val="000000"/>
          <w:sz w:val="22"/>
        </w:rPr>
        <w:t xml:space="preserve">This Plan supersedes all other severance plans, programs, policies, understandings and agreements, including, for the avoidance of doubt, all of the terms of any employment agreement, and any severance provisions that may be contained in any other employment documentation, express or implied, written or oral, for senior executives of the Company who have executed a Participation Letter and who otherwise meet the eligibility requirements provided in </w:t>
      </w:r>
      <w:r>
        <w:rPr>
          <w:rFonts w:ascii="Times New Roman;serif" w:hAnsi="Times New Roman;serif"/>
          <w:b w:val="false"/>
          <w:color w:val="000000"/>
          <w:sz w:val="22"/>
          <w:u w:val="single"/>
        </w:rPr>
        <w:t>Section II</w:t>
      </w:r>
      <w:r>
        <w:rPr>
          <w:color w:val="000000"/>
        </w:rPr>
        <w:t xml:space="preserve"> </w:t>
      </w:r>
      <w:r>
        <w:rPr>
          <w:rFonts w:ascii="Times New Roman;serif" w:hAnsi="Times New Roman;serif"/>
          <w:b w:val="false"/>
          <w:color w:val="000000"/>
          <w:sz w:val="22"/>
        </w:rPr>
        <w:t>below.</w:t>
      </w: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2"/>
        </w:rPr>
        <w:t>II.</w:t>
      </w:r>
      <w:r>
        <w:rPr>
          <w:rFonts w:ascii="Times New Roman;serif" w:hAnsi="Times New Roman;serif"/>
          <w:b/>
          <w:color w:val="000000"/>
          <w:sz w:val="22"/>
          <w:u w:val="single"/>
        </w:rPr>
        <w:t>ELIGIBILITY; DEFINED TERMS</w:t>
      </w:r>
    </w:p>
    <w:p>
      <w:pPr>
        <w:pStyle w:val="TextBody"/>
        <w:bidi w:val="0"/>
        <w:spacing w:lineRule="auto" w:line="240" w:before="0" w:after="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General Eligibility</w:t>
      </w:r>
      <w:r>
        <w:rPr>
          <w:rFonts w:ascii="Times New Roman;serif" w:hAnsi="Times New Roman;serif"/>
          <w:b w:val="false"/>
          <w:color w:val="000000"/>
          <w:sz w:val="22"/>
        </w:rPr>
        <w:t>. You may be eligible to receive a severance benefit only if and when you meet all of the following requirements: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you are classified by the Board of Directors of the Company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as an eligible participant of this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you are not otherwise eligible for (or otherwise provided) severance or post-separation benefits under any other plan, program, agreement or arrangement with any member of the Company Group (as defined below) (other than with respect to any equity-based awards), or have otherwise forfeited the right to receive any such severance or post-separation benefits as a result of participating in this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your termination of employment is a Qualifying Separation (defined below);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you execute and return a participation letter substantially in the form attached hereto as </w:t>
      </w:r>
      <w:r>
        <w:rPr>
          <w:rFonts w:ascii="Times New Roman;serif" w:hAnsi="Times New Roman;serif"/>
          <w:b w:val="false"/>
          <w:color w:val="000000"/>
          <w:sz w:val="22"/>
          <w:u w:val="single"/>
        </w:rPr>
        <w:t>Attachment 1</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Participation Letter</w:t>
      </w:r>
      <w:r>
        <w:rPr>
          <w:color w:val="000000"/>
        </w:rPr>
        <w:t>”</w:t>
      </w:r>
      <w:r>
        <w:rPr>
          <w:rFonts w:ascii="Times New Roman;serif" w:hAnsi="Times New Roman;serif"/>
          <w:b w:val="false"/>
          <w:color w:val="000000"/>
          <w:sz w:val="22"/>
        </w:rPr>
        <w:t xml:space="preserve">) to the Company no later than 20 days following the date on which you receive your customized Participation Letter from the Company indicating the tier you participate in for purposes of determining your severance benefits (as set forth on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Separation Agreement and Release Requirement</w:t>
      </w:r>
      <w:r>
        <w:rPr>
          <w:rFonts w:ascii="Times New Roman;serif" w:hAnsi="Times New Roman;serif"/>
          <w:b w:val="false"/>
          <w:color w:val="000000"/>
          <w:sz w:val="22"/>
        </w:rPr>
        <w:t xml:space="preserve">. You will not be entitled to receive any of your severance benefits (other than the Accrued Obligations, as defined below) pursuant to this Plan until you have executed and returned a separation agreement and release substantially in the form attached hereto as </w:t>
      </w:r>
      <w:r>
        <w:rPr>
          <w:rFonts w:ascii="Times New Roman;serif" w:hAnsi="Times New Roman;serif"/>
          <w:b w:val="false"/>
          <w:color w:val="000000"/>
          <w:sz w:val="22"/>
          <w:u w:val="single"/>
        </w:rPr>
        <w:t>Attachment 2</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Separation Agreement and Release</w:t>
      </w:r>
      <w:r>
        <w:rPr>
          <w:color w:val="000000"/>
        </w:rPr>
        <w:t>”</w:t>
      </w:r>
      <w:r>
        <w:rPr>
          <w:rFonts w:ascii="Times New Roman;serif" w:hAnsi="Times New Roman;serif"/>
          <w:b w:val="false"/>
          <w:color w:val="000000"/>
          <w:sz w:val="22"/>
        </w:rPr>
        <w:t>) to the Company following your Qualifying Separation within the time period prescribed in the Separation Agreement and Release and you do not revoke the Separation Agreement and Release within the revocation period set forth in the Separation Agreement and Release (such period, the “</w:t>
      </w:r>
      <w:r>
        <w:rPr>
          <w:rFonts w:ascii="Times New Roman;serif" w:hAnsi="Times New Roman;serif"/>
          <w:b w:val="false"/>
          <w:color w:val="000000"/>
          <w:sz w:val="22"/>
          <w:u w:val="single"/>
        </w:rPr>
        <w:t>Separation Agreement and Release Period</w:t>
      </w:r>
      <w:r>
        <w:rPr>
          <w:color w:val="000000"/>
        </w:rPr>
        <w:t>”</w:t>
      </w:r>
      <w:r>
        <w:rPr>
          <w:rFonts w:ascii="Times New Roman;serif" w:hAnsi="Times New Roman;serif"/>
          <w:b w:val="false"/>
          <w:color w:val="000000"/>
          <w:sz w:val="22"/>
        </w:rPr>
        <w:t>) (the forgoing, the “</w:t>
      </w:r>
      <w:r>
        <w:rPr>
          <w:rFonts w:ascii="Times New Roman;serif" w:hAnsi="Times New Roman;serif"/>
          <w:b w:val="false"/>
          <w:color w:val="000000"/>
          <w:sz w:val="22"/>
          <w:u w:val="single"/>
        </w:rPr>
        <w:t>Separation Agreement and Release Requirement</w:t>
      </w:r>
      <w:r>
        <w:rPr>
          <w:color w:val="000000"/>
        </w:rPr>
        <w:t>”</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Certain Definitions</w:t>
      </w:r>
      <w:r>
        <w:rPr>
          <w:rFonts w:ascii="Times New Roman;serif" w:hAnsi="Times New Roman;serif"/>
          <w:b w:val="false"/>
          <w:color w:val="000000"/>
          <w:sz w:val="22"/>
        </w:rPr>
        <w:t>. The following terms shall have the following meanings for purposes of this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Cause</w:t>
      </w:r>
      <w:r>
        <w:rPr>
          <w:color w:val="000000"/>
        </w:rPr>
        <w:t xml:space="preserve">” </w:t>
      </w:r>
      <w:r>
        <w:rPr>
          <w:rFonts w:ascii="Times New Roman;serif" w:hAnsi="Times New Roman;serif"/>
          <w:b w:val="false"/>
          <w:color w:val="000000"/>
          <w:sz w:val="22"/>
        </w:rPr>
        <w:t xml:space="preserve">shall mean, your (i) act of engaging in fraud, dishonesty, embezzlement, falsification or theft in connection with your duties or in the course of your employment; (ii) material failure to perform your reasonably assigned duties (other than as a result of illness, accident, or other physical or mental disability or incapacity;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(x) a demand for performance of services has been delivered to you by the Company at least 30 days prior to such termination identifying the manner in which the Company believes that you have failed to perform and (y) you have thereafter failed to remedy such refusal to perform); (iii) engaging in willful, reckless, or grossly negligent misconduct which is or may be materially injurious to the Company Group; (iv) conviction of, or plea of guilty or no contest to a felony or any crime against the Company Group; (v) material breach of any provision of a Restrictive Covenant Agreement; (vi) material breach of any written agreement between you and any member of the Company Group other than a Restrictive Covenant Agreement that, if capable of cure, is not cured by you within ten days after the Company provides written notice to you identifying the alleged breach; (vii) material violation of the written policies of the Company Group, including, but not limited to, the Company’s Global Code of Conduct or other written Company policies including without limitation policies relating to anti-harassment, hostile work environment, and insider trading or those set forth in the manuals or statements of policy of the Company Group that, if capable of cure, is not cured by you within ten (10) days after the Company provides written notice to you identifying the alleged violation; or (viii) prior to a Sale Transaction, failure to perform your duties to the Company Group to such minimum performance standards as may be established from time to time by the Company Group, as determined by the Company Group in its good faith discretion and so long as the Company Group provided you notice of such unsatisfactory performance and at least 60 days to improve any unsatisfactory performance; </w:t>
      </w:r>
      <w:r>
        <w:rPr>
          <w:rFonts w:ascii="Times New Roman;serif" w:hAnsi="Times New Roman;serif"/>
          <w:b w:val="false"/>
          <w:color w:val="000000"/>
          <w:sz w:val="22"/>
          <w:u w:val="single"/>
        </w:rPr>
        <w:t>provided</w:t>
      </w:r>
      <w:r>
        <w:rPr>
          <w:rFonts w:ascii="Times New Roman;serif" w:hAnsi="Times New Roman;serif"/>
          <w:b w:val="false"/>
          <w:color w:val="000000"/>
          <w:sz w:val="22"/>
        </w:rPr>
        <w:t>, in any case, that your resignation after an event that would be grounds for a termination for Cause will be treated as a termination for Cause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shall have the meaning given to such term in the Omnibus Plan.</w:t>
      </w: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2"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CIC Transaction Protection Period</w:t>
      </w:r>
      <w:r>
        <w:rPr>
          <w:color w:val="000000"/>
        </w:rPr>
        <w:t xml:space="preserve">” </w:t>
      </w:r>
      <w:r>
        <w:rPr>
          <w:rFonts w:ascii="Times New Roman;serif" w:hAnsi="Times New Roman;serif"/>
          <w:b w:val="false"/>
          <w:color w:val="000000"/>
          <w:sz w:val="22"/>
        </w:rPr>
        <w:t xml:space="preserve">shall mean, with respect to any participant, the period commencing on the date on which a Change in Control is consummated and ending on the date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attached hereto. </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CIC Bonus Severance Multiple</w:t>
      </w:r>
      <w:r>
        <w:rPr>
          <w:color w:val="000000"/>
        </w:rPr>
        <w:t xml:space="preserve">” </w:t>
      </w:r>
      <w:r>
        <w:rPr>
          <w:rFonts w:ascii="Times New Roman;serif" w:hAnsi="Times New Roman;serif"/>
          <w:b w:val="false"/>
          <w:color w:val="000000"/>
          <w:sz w:val="22"/>
        </w:rPr>
        <w:t xml:space="preserve">shall mean, with respect to any participant, the applicable multiple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CIC COBRA Period</w:t>
      </w:r>
      <w:r>
        <w:rPr>
          <w:color w:val="000000"/>
        </w:rPr>
        <w:t xml:space="preserve">” </w:t>
      </w:r>
      <w:r>
        <w:rPr>
          <w:rFonts w:ascii="Times New Roman;serif" w:hAnsi="Times New Roman;serif"/>
          <w:b w:val="false"/>
          <w:color w:val="000000"/>
          <w:sz w:val="22"/>
        </w:rPr>
        <w:t xml:space="preserve">shall mean, with respect to any participant, the applicable period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2"/>
          <w:u w:val="single"/>
        </w:rPr>
        <w:t>CIC Outplacement Service Period</w:t>
      </w:r>
      <w:r>
        <w:rPr>
          <w:color w:val="000000"/>
        </w:rPr>
        <w:t xml:space="preserve">” </w:t>
      </w:r>
      <w:r>
        <w:rPr>
          <w:rFonts w:ascii="Times New Roman;serif" w:hAnsi="Times New Roman;serif"/>
          <w:b w:val="false"/>
          <w:color w:val="000000"/>
          <w:sz w:val="22"/>
        </w:rPr>
        <w:t xml:space="preserve">shall mean, with respect to any participant, the applicable period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color w:val="000000"/>
        </w:rPr>
        <w:t>“</w:t>
      </w:r>
      <w:r>
        <w:rPr>
          <w:rFonts w:ascii="Times New Roman;serif" w:hAnsi="Times New Roman;serif"/>
          <w:b w:val="false"/>
          <w:color w:val="000000"/>
          <w:sz w:val="22"/>
          <w:u w:val="single"/>
        </w:rPr>
        <w:t>CIC Salary Severance Multiple</w:t>
      </w:r>
      <w:r>
        <w:rPr>
          <w:color w:val="000000"/>
        </w:rPr>
        <w:t xml:space="preserve">” </w:t>
      </w:r>
      <w:r>
        <w:rPr>
          <w:rFonts w:ascii="Times New Roman;serif" w:hAnsi="Times New Roman;serif"/>
          <w:b w:val="false"/>
          <w:color w:val="000000"/>
          <w:sz w:val="22"/>
        </w:rPr>
        <w:t xml:space="preserve">shall mean, with respect to any participant, the applicable multiple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shall mean the Internal Revenue Code of 1986, as amended.</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u w:val="single"/>
        </w:rPr>
        <w:t>Company Group</w:t>
      </w:r>
      <w:r>
        <w:rPr>
          <w:color w:val="000000"/>
        </w:rPr>
        <w:t xml:space="preserve">” </w:t>
      </w:r>
      <w:r>
        <w:rPr>
          <w:rFonts w:ascii="Times New Roman;serif" w:hAnsi="Times New Roman;serif"/>
          <w:b w:val="false"/>
          <w:color w:val="000000"/>
          <w:sz w:val="22"/>
        </w:rPr>
        <w:t>shall mean the Company and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color w:val="000000"/>
        </w:rPr>
        <w:t>“</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 xml:space="preserve">shall mean the occurrence of any of the following without your prior written consent: (i) a material diminution in your authorities, duties or responsibilities measured in the aggregate, including, but not limited to, an adverse change in your title or reporting obligations; (ii) any material reduction in your base salary or target annual bonus, other than a reduction of not more than 10% implemented in connection with an across-the-board reduction affecting all similarly-situated executive employees of the Company; (iii) the relocation of your primary office location to a location that is more than 50 miles from your then primary office location; (iv) the assignment to you of duties or responsibilities which are materially inconsistent with any of your duties and responsibilities; (v) the failure of any successor to the Company (or an Affiliate thereof) in a Change in Control by agreement in writing, to expressly, absolutely and unconditionally assume and agree to perform this Plan, in the same manner and to the same extent that the Company would be required to perform this Plan if no such Change in Control had taken place; or (vi) upon or within the CIC Protection Period applicable to you following a Change in Control, (A) a reduction in your base salary in effect immediately prior to the Change in Control or (B) a material reduction in the sum of (1) your target annual bonus for the last completed fiscal year immediately prior to the Change in Control plus (2) the grant date fair value of equity or equity-based awards granted to you under the Omnibus Plan or otherwise for the last completed fiscal year immediately prior to the Change in Control;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any of the events described in clauses (i) – (iv) and (vi) above shall constitute Good Reason only if you provide the Company (or applicable employer following a Change in Control) with written objection to the event or condition within 90 days following the occurrence thereof, the Company (or applicable employer following a Change in Control) does not reverse or otherwise cure the event or condition within 30 days of receiving that written objection, and you resign employment within 30 days following the expiration of that cure period.</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color w:val="000000"/>
        </w:rPr>
        <w:t>“</w:t>
      </w:r>
      <w:r>
        <w:rPr>
          <w:rFonts w:ascii="Times New Roman;serif" w:hAnsi="Times New Roman;serif"/>
          <w:b w:val="false"/>
          <w:color w:val="000000"/>
          <w:sz w:val="22"/>
          <w:u w:val="single"/>
        </w:rPr>
        <w:t>Omnibus Plan</w:t>
      </w:r>
      <w:r>
        <w:rPr>
          <w:color w:val="000000"/>
        </w:rPr>
        <w:t xml:space="preserve">” </w:t>
      </w:r>
      <w:r>
        <w:rPr>
          <w:rFonts w:ascii="Times New Roman;serif" w:hAnsi="Times New Roman;serif"/>
          <w:b w:val="false"/>
          <w:color w:val="000000"/>
          <w:sz w:val="22"/>
        </w:rPr>
        <w:t>means the Medline Inc. 2025 Omnibus Incentive Plan, as may be amended, restated and/or modified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A “</w:t>
      </w:r>
      <w:r>
        <w:rPr>
          <w:rFonts w:ascii="Times New Roman;serif" w:hAnsi="Times New Roman;serif"/>
          <w:b w:val="false"/>
          <w:color w:val="000000"/>
          <w:sz w:val="22"/>
          <w:u w:val="single"/>
        </w:rPr>
        <w:t>Qualifying Separation</w:t>
      </w:r>
      <w:r>
        <w:rPr>
          <w:color w:val="000000"/>
        </w:rPr>
        <w:t xml:space="preserve">” </w:t>
      </w:r>
      <w:r>
        <w:rPr>
          <w:rFonts w:ascii="Times New Roman;serif" w:hAnsi="Times New Roman;serif"/>
          <w:b w:val="false"/>
          <w:color w:val="000000"/>
          <w:sz w:val="22"/>
        </w:rPr>
        <w:t>occurs when the Company terminates your employment without Cause (and other than due to your death or termination due to your physical or mental disability or incapacity), or you terminate your employment for Good Reason.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color w:val="000000"/>
        </w:rPr>
        <w:t>“</w:t>
      </w:r>
      <w:r>
        <w:rPr>
          <w:rFonts w:ascii="Times New Roman;serif" w:hAnsi="Times New Roman;serif"/>
          <w:b w:val="false"/>
          <w:color w:val="000000"/>
          <w:sz w:val="22"/>
          <w:u w:val="single"/>
        </w:rPr>
        <w:t>Regular Salary Severance Multiple</w:t>
      </w:r>
      <w:r>
        <w:rPr>
          <w:color w:val="000000"/>
        </w:rPr>
        <w:t xml:space="preserve">” </w:t>
      </w:r>
      <w:r>
        <w:rPr>
          <w:rFonts w:ascii="Times New Roman;serif" w:hAnsi="Times New Roman;serif"/>
          <w:b w:val="false"/>
          <w:color w:val="000000"/>
          <w:sz w:val="22"/>
        </w:rPr>
        <w:t xml:space="preserve">shall mean, with respect to any participant, the applicable multiple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color w:val="000000"/>
        </w:rPr>
        <w:t>“</w:t>
      </w:r>
      <w:r>
        <w:rPr>
          <w:rFonts w:ascii="Times New Roman;serif" w:hAnsi="Times New Roman;serif"/>
          <w:b w:val="false"/>
          <w:color w:val="000000"/>
          <w:sz w:val="22"/>
          <w:u w:val="single"/>
        </w:rPr>
        <w:t>Regular Bonus Severance Multiple</w:t>
      </w:r>
      <w:r>
        <w:rPr>
          <w:color w:val="000000"/>
        </w:rPr>
        <w:t xml:space="preserve">” </w:t>
      </w:r>
      <w:r>
        <w:rPr>
          <w:rFonts w:ascii="Times New Roman;serif" w:hAnsi="Times New Roman;serif"/>
          <w:b w:val="false"/>
          <w:color w:val="000000"/>
          <w:sz w:val="22"/>
        </w:rPr>
        <w:t xml:space="preserve">shall mean, with respect to any participant, the applicable multiple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w:t>
      </w: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3"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color w:val="000000"/>
        </w:rPr>
        <w:t>“</w:t>
      </w:r>
      <w:r>
        <w:rPr>
          <w:rFonts w:ascii="Times New Roman;serif" w:hAnsi="Times New Roman;serif"/>
          <w:b w:val="false"/>
          <w:color w:val="000000"/>
          <w:sz w:val="22"/>
          <w:u w:val="single"/>
        </w:rPr>
        <w:t>Regular COBRA Period</w:t>
      </w:r>
      <w:r>
        <w:rPr>
          <w:color w:val="000000"/>
        </w:rPr>
        <w:t xml:space="preserve">” </w:t>
      </w:r>
      <w:r>
        <w:rPr>
          <w:rFonts w:ascii="Times New Roman;serif" w:hAnsi="Times New Roman;serif"/>
          <w:b w:val="false"/>
          <w:color w:val="000000"/>
          <w:sz w:val="22"/>
        </w:rPr>
        <w:t xml:space="preserve">shall mean, with respect to any participant, the applicable period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color w:val="000000"/>
        </w:rPr>
        <w:t>“</w:t>
      </w:r>
      <w:r>
        <w:rPr>
          <w:rFonts w:ascii="Times New Roman;serif" w:hAnsi="Times New Roman;serif"/>
          <w:b w:val="false"/>
          <w:color w:val="000000"/>
          <w:sz w:val="22"/>
          <w:u w:val="single"/>
        </w:rPr>
        <w:t>Regular Outplacement Service Period</w:t>
      </w:r>
      <w:r>
        <w:rPr>
          <w:color w:val="000000"/>
        </w:rPr>
        <w:t xml:space="preserve">” </w:t>
      </w:r>
      <w:r>
        <w:rPr>
          <w:rFonts w:ascii="Times New Roman;serif" w:hAnsi="Times New Roman;serif"/>
          <w:b w:val="false"/>
          <w:color w:val="000000"/>
          <w:sz w:val="22"/>
        </w:rPr>
        <w:t xml:space="preserve">shall mean, with respect to any participant, the applicable period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color w:val="000000"/>
        </w:rPr>
        <w:t>“</w:t>
      </w:r>
      <w:r>
        <w:rPr>
          <w:rFonts w:ascii="Times New Roman;serif" w:hAnsi="Times New Roman;serif"/>
          <w:b w:val="false"/>
          <w:color w:val="000000"/>
          <w:sz w:val="22"/>
          <w:u w:val="single"/>
        </w:rPr>
        <w:t>Restrictive Covenant Agreement</w:t>
      </w:r>
      <w:r>
        <w:rPr>
          <w:color w:val="000000"/>
        </w:rPr>
        <w:t xml:space="preserve">” </w:t>
      </w:r>
      <w:r>
        <w:rPr>
          <w:rFonts w:ascii="Times New Roman;serif" w:hAnsi="Times New Roman;serif"/>
          <w:b w:val="false"/>
          <w:color w:val="000000"/>
          <w:sz w:val="22"/>
        </w:rPr>
        <w:t xml:space="preserve">shall mean any confidentiality, nondisclosure, non-competition, non-solicitation or non-disparagement covenant agreement between you and any member of the Company Group. </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color w:val="000000"/>
        </w:rPr>
        <w:t>“</w:t>
      </w:r>
      <w:r>
        <w:rPr>
          <w:rFonts w:ascii="Times New Roman;serif" w:hAnsi="Times New Roman;serif"/>
          <w:b w:val="false"/>
          <w:color w:val="000000"/>
          <w:sz w:val="22"/>
          <w:u w:val="single"/>
        </w:rPr>
        <w:t>Section 409A</w:t>
      </w:r>
      <w:r>
        <w:rPr>
          <w:color w:val="000000"/>
        </w:rPr>
        <w:t xml:space="preserve">” </w:t>
      </w:r>
      <w:r>
        <w:rPr>
          <w:rFonts w:ascii="Times New Roman;serif" w:hAnsi="Times New Roman;serif"/>
          <w:b w:val="false"/>
          <w:color w:val="000000"/>
          <w:sz w:val="22"/>
        </w:rPr>
        <w:t>shall mean Section 409A of the Code and the Treasury Regulations promulgated thereunder.</w:t>
      </w:r>
    </w:p>
    <w:p>
      <w:pPr>
        <w:pStyle w:val="TextBody"/>
        <w:bidi w:val="0"/>
        <w:spacing w:lineRule="auto" w:line="240" w:before="0" w:after="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Limitations on Severance Benefits.</w:t>
      </w:r>
      <w:r>
        <w:rPr>
          <w:color w:val="000000"/>
        </w:rPr>
        <w:t xml:space="preserve"> </w:t>
      </w:r>
      <w:r>
        <w:rPr>
          <w:rFonts w:ascii="Times New Roman;serif" w:hAnsi="Times New Roman;serif"/>
          <w:b w:val="false"/>
          <w:color w:val="000000"/>
          <w:sz w:val="22"/>
        </w:rPr>
        <w:t>Under the circumstances described below you will not be eligible to receive severance benefits under this Plan (other than Accrued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If your employment terminates and such termination does not constitute a Qualifying Separation.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If you fail to satisfy the conditions for receipt of severance benefits, including the Separation Agreement and Release Requirement.</w:t>
      </w:r>
    </w:p>
    <w:p>
      <w:pPr>
        <w:pStyle w:val="TextBody"/>
        <w:bidi w:val="0"/>
        <w:spacing w:lineRule="auto" w:line="240" w:before="0" w:after="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Clawback</w:t>
      </w:r>
      <w:r>
        <w:rPr>
          <w:rFonts w:ascii="Times New Roman;serif" w:hAnsi="Times New Roman;serif"/>
          <w:b w:val="false"/>
          <w:color w:val="000000"/>
          <w:sz w:val="22"/>
        </w:rPr>
        <w:t xml:space="preserve">. You, or your surviving spouse or estate, as applicable, must repay any severance benefit received under this Plan (other than Accrued Obligations) if the Plan Administrator determines, in its sole discretion, that you have breached or otherwise not complied with the terms of this Plan, including any violation of the terms of the Separation Agreement and Release or </w:t>
      </w:r>
      <w:r>
        <w:rPr>
          <w:rFonts w:ascii="Times New Roman;serif" w:hAnsi="Times New Roman;serif"/>
          <w:b w:val="false"/>
          <w:color w:val="000000"/>
          <w:sz w:val="22"/>
          <w:u w:val="single"/>
        </w:rPr>
        <w:t>Section IV</w:t>
      </w:r>
      <w:r>
        <w:rPr>
          <w:color w:val="000000"/>
        </w:rPr>
        <w:t xml:space="preserve"> </w:t>
      </w:r>
      <w:r>
        <w:rPr>
          <w:rFonts w:ascii="Times New Roman;serif" w:hAnsi="Times New Roman;serif"/>
          <w:b w:val="false"/>
          <w:color w:val="000000"/>
          <w:sz w:val="22"/>
        </w:rPr>
        <w:t xml:space="preserve">herein. You shall receive no other benefits and shall have no further rights under this Plan as of the date of that determination. Any incentive compensation paid to you, or your surviving spouse or estate, as applicable, as part of the severance benefits is subject to recoupment under any incentive compensation clawback policy of the Company Group in effect from time to time. In the event that you, your surviving spouse or your estate fail to promptly repay the severance benefit as required under this </w:t>
      </w:r>
      <w:r>
        <w:rPr>
          <w:rFonts w:ascii="Times New Roman;serif" w:hAnsi="Times New Roman;serif"/>
          <w:b w:val="false"/>
          <w:color w:val="000000"/>
          <w:sz w:val="22"/>
          <w:u w:val="single"/>
        </w:rPr>
        <w:t>Section II.5</w:t>
      </w:r>
      <w:r>
        <w:rPr>
          <w:rFonts w:ascii="Times New Roman;serif" w:hAnsi="Times New Roman;serif"/>
          <w:b w:val="false"/>
          <w:color w:val="000000"/>
          <w:sz w:val="22"/>
        </w:rPr>
        <w:t>, the Plan Administrator may, in its sole discretion, take any action to recover the severance benefit.</w:t>
      </w:r>
    </w:p>
    <w:p>
      <w:pPr>
        <w:pStyle w:val="TextBody"/>
        <w:bidi w:val="0"/>
        <w:spacing w:lineRule="auto" w:line="240" w:before="0" w:after="240"/>
        <w:jc w:val="center"/>
        <w:rPr/>
      </w:pPr>
      <w:r>
        <w:rPr>
          <w:rFonts w:ascii="Times New Roman;serif" w:hAnsi="Times New Roman;serif"/>
          <w:b/>
          <w:color w:val="000000"/>
          <w:sz w:val="22"/>
        </w:rPr>
        <w:t>III.</w:t>
      </w:r>
      <w:r>
        <w:rPr>
          <w:rFonts w:ascii="Times New Roman;serif" w:hAnsi="Times New Roman;serif"/>
          <w:b/>
          <w:color w:val="000000"/>
          <w:sz w:val="22"/>
          <w:u w:val="single"/>
        </w:rPr>
        <w:t>SEVERANCE BENEFITS</w:t>
      </w:r>
    </w:p>
    <w:p>
      <w:pPr>
        <w:pStyle w:val="TextBody"/>
        <w:bidi w:val="0"/>
        <w:spacing w:lineRule="auto" w:line="240" w:before="0" w:after="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Accrued Obligations</w:t>
      </w:r>
      <w:r>
        <w:rPr>
          <w:rFonts w:ascii="Times New Roman;serif" w:hAnsi="Times New Roman;serif"/>
          <w:b w:val="false"/>
          <w:color w:val="000000"/>
          <w:sz w:val="22"/>
        </w:rPr>
        <w:t>. In the event that your employment is terminated for any reason, whether or not such termination is a Qualifying Separation, you (or your estate, if applicable) shall be entitled to receive (i) all accrued but unpaid (as of the effective date of such termination) base salary and benefits (to which you are entitled in accordance with the applicable benefit plan), (ii) reimbursement of expenses for which you have submitted proper documentation in accordance with Company policy, and (iii) payment for your accrued and unused vacation and other paid time off in accordance with Company policy, as applicable (the amounts provided in prongs (i) – (iii), collectively, the “</w:t>
      </w:r>
      <w:r>
        <w:rPr>
          <w:rFonts w:ascii="Times New Roman;serif" w:hAnsi="Times New Roman;serif"/>
          <w:b w:val="false"/>
          <w:color w:val="000000"/>
          <w:sz w:val="22"/>
          <w:u w:val="single"/>
        </w:rPr>
        <w:t>Accrued Obligations</w:t>
      </w:r>
      <w:r>
        <w:rPr>
          <w:color w:val="000000"/>
        </w:rPr>
        <w:t>”</w:t>
      </w:r>
      <w:r>
        <w:rPr>
          <w:rFonts w:ascii="Times New Roman;serif" w:hAnsi="Times New Roman;serif"/>
          <w:b w:val="false"/>
          <w:color w:val="000000"/>
          <w:sz w:val="22"/>
        </w:rPr>
        <w:t xml:space="preserve">). The Accrued Obligations shall be paid to you within twenty (20) days after your termination (or such shorter period if required by law). Except as otherwise provided in this </w:t>
      </w:r>
      <w:r>
        <w:rPr>
          <w:rFonts w:ascii="Times New Roman;serif" w:hAnsi="Times New Roman;serif"/>
          <w:b w:val="false"/>
          <w:color w:val="000000"/>
          <w:sz w:val="22"/>
          <w:u w:val="single"/>
        </w:rPr>
        <w:t>Section III</w:t>
      </w:r>
      <w:r>
        <w:rPr>
          <w:color w:val="000000"/>
        </w:rPr>
        <w:t xml:space="preserve"> </w:t>
      </w:r>
      <w:r>
        <w:rPr>
          <w:rFonts w:ascii="Times New Roman;serif" w:hAnsi="Times New Roman;serif"/>
          <w:b w:val="false"/>
          <w:color w:val="000000"/>
          <w:sz w:val="22"/>
        </w:rPr>
        <w:t>or pursuant to any outstanding equity awards under the Omnibus Plan or otherwise, the Company Group shall have no liability or obligation to you by reason of your termination.</w:t>
      </w:r>
    </w:p>
    <w:p>
      <w:pPr>
        <w:pStyle w:val="TextBody"/>
        <w:bidi w:val="0"/>
        <w:spacing w:lineRule="auto" w:line="240" w:before="0" w:after="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Severance Benefits Upon a Qualifying Separation Outside the CIC Protection Period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your employment ends due to a Qualifying Separation, and such Qualifying Separation does not occur within the CIC Protection Period, so long as you have satisfied the Separation Agreement and Release Requirement and continue to abide by the terms of </w:t>
      </w:r>
      <w:r>
        <w:rPr>
          <w:rFonts w:ascii="Times New Roman;serif" w:hAnsi="Times New Roman;serif"/>
          <w:b w:val="false"/>
          <w:color w:val="000000"/>
          <w:sz w:val="22"/>
          <w:u w:val="single"/>
        </w:rPr>
        <w:t>Section IV</w:t>
      </w:r>
      <w:r>
        <w:rPr>
          <w:color w:val="000000"/>
        </w:rPr>
        <w:t xml:space="preserve"> </w:t>
      </w:r>
      <w:r>
        <w:rPr>
          <w:rFonts w:ascii="Times New Roman;serif" w:hAnsi="Times New Roman;serif"/>
          <w:b w:val="false"/>
          <w:color w:val="000000"/>
          <w:sz w:val="22"/>
        </w:rPr>
        <w:t>herein, in addition the Accrued Obligations, you shall also be entitled to receive:</w:t>
      </w:r>
    </w:p>
    <w:p>
      <w:pPr>
        <w:pStyle w:val="TextBody"/>
        <w:bidi w:val="0"/>
        <w:spacing w:lineRule="auto" w:line="240" w:before="0" w:after="240"/>
        <w:ind w:left="0" w:right="0" w:hanging="720"/>
        <w:jc w:val="both"/>
        <w:rPr/>
      </w:pPr>
      <w:r>
        <w:rPr>
          <w:rFonts w:ascii="Times New Roman;serif" w:hAnsi="Times New Roman;serif"/>
          <w:b w:val="false"/>
          <w:color w:val="000000"/>
          <w:sz w:val="22"/>
        </w:rPr>
        <w:t xml:space="preserve">(i)a cash payment in an amount equal to the sum of (A) the Regular Salary Severance Multiple </w:t>
      </w:r>
      <w:r>
        <w:rPr>
          <w:rFonts w:ascii="Times New Roman;serif" w:hAnsi="Times New Roman;serif"/>
          <w:b w:val="false"/>
          <w:i/>
          <w:color w:val="000000"/>
          <w:sz w:val="22"/>
        </w:rPr>
        <w:t>multiplied by</w:t>
      </w:r>
      <w:r>
        <w:rPr>
          <w:color w:val="000000"/>
        </w:rPr>
        <w:t xml:space="preserve"> </w:t>
      </w:r>
      <w:r>
        <w:rPr>
          <w:rFonts w:ascii="Times New Roman;serif" w:hAnsi="Times New Roman;serif"/>
          <w:b w:val="false"/>
          <w:color w:val="000000"/>
          <w:sz w:val="22"/>
        </w:rPr>
        <w:t xml:space="preserve">your base salary as of the effective date of your Qualifying Separation (or, if higher, your base salary before any reduction thereto that would trigger your right to resign for Good Reason)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(B) the Regular Bonus Severance Multiple </w:t>
      </w:r>
      <w:r>
        <w:rPr>
          <w:rFonts w:ascii="Times New Roman;serif" w:hAnsi="Times New Roman;serif"/>
          <w:b w:val="false"/>
          <w:i/>
          <w:color w:val="000000"/>
          <w:sz w:val="22"/>
        </w:rPr>
        <w:t>multiplied by</w:t>
      </w:r>
      <w:r>
        <w:rPr>
          <w:color w:val="000000"/>
        </w:rPr>
        <w:t xml:space="preserve"> </w:t>
      </w:r>
      <w:r>
        <w:rPr>
          <w:rFonts w:ascii="Times New Roman;serif" w:hAnsi="Times New Roman;serif"/>
          <w:b w:val="false"/>
          <w:color w:val="000000"/>
          <w:sz w:val="22"/>
        </w:rPr>
        <w:t xml:space="preserve">your target annual bonus amount for the year of your Qualifying Separation (or, if higher, your target annual bonus </w:t>
      </w: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amount before any reduction thereto that would trigger your right to resign for Good Reason) (such amount, the “</w:t>
      </w:r>
      <w:r>
        <w:rPr>
          <w:rFonts w:ascii="Times New Roman;serif" w:hAnsi="Times New Roman;serif"/>
          <w:b w:val="false"/>
          <w:color w:val="000000"/>
          <w:sz w:val="22"/>
          <w:u w:val="single"/>
        </w:rPr>
        <w:t>Regular Severance Payment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(ii)any earned but unpaid annual bonus for any fiscal year preceding the fiscal year in which your Qualifying Separation occurs, which amount will be paid during the fiscal year in which your Qualifying Separation occurs at the same time that bonuses are paid to other senior executives of the Company for such preceding fiscal year (such prior fiscal year annual bonus and the payment terms thereof, the “</w:t>
      </w:r>
      <w:r>
        <w:rPr>
          <w:rFonts w:ascii="Times New Roman;serif" w:hAnsi="Times New Roman;serif"/>
          <w:b w:val="false"/>
          <w:color w:val="000000"/>
          <w:sz w:val="22"/>
          <w:u w:val="single"/>
        </w:rPr>
        <w:t>Prior Year Bonus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(iii)a pro-rata annual bonus for the fiscal year in which your Qualifying Separation occurs, (A) measured based on the actual achievement of the applicable Company Group performance targets for such fiscal year through the date of your Qualifying Separation as determined by the Plan Administrator in its sole discretion which will be assumed to continue through the end of such fiscal year and (B) pro-rated for the period of time elapsing during the performance year prior to the date of your Qualifying Separation (such pro-rata annual bonus, the “</w:t>
      </w:r>
      <w:r>
        <w:rPr>
          <w:rFonts w:ascii="Times New Roman;serif" w:hAnsi="Times New Roman;serif"/>
          <w:b w:val="false"/>
          <w:color w:val="000000"/>
          <w:sz w:val="22"/>
          <w:u w:val="single"/>
        </w:rPr>
        <w:t>Pro Rata Bonus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 xml:space="preserve">(iv)a cash payment equal to the product of (A) the monthly employer contribution towards the cost of participation in the Company’s employer-subsidized health plans in which you participate as of the date of your Qualifying Separation </w:t>
      </w:r>
      <w:r>
        <w:rPr>
          <w:rFonts w:ascii="Times New Roman;serif" w:hAnsi="Times New Roman;serif"/>
          <w:b w:val="false"/>
          <w:i/>
          <w:color w:val="000000"/>
          <w:sz w:val="22"/>
        </w:rPr>
        <w:t>multiplied</w:t>
      </w:r>
      <w:r>
        <w:rPr>
          <w:color w:val="000000"/>
        </w:rPr>
        <w:t xml:space="preserve"> </w:t>
      </w:r>
      <w:r>
        <w:rPr>
          <w:rFonts w:ascii="Times New Roman;serif" w:hAnsi="Times New Roman;serif"/>
          <w:b w:val="false"/>
          <w:color w:val="000000"/>
          <w:sz w:val="22"/>
        </w:rPr>
        <w:t>by (B) the number of months in the Regular COBRA Period (the “</w:t>
      </w:r>
      <w:r>
        <w:rPr>
          <w:rFonts w:ascii="Times New Roman;serif" w:hAnsi="Times New Roman;serif"/>
          <w:b w:val="false"/>
          <w:color w:val="000000"/>
          <w:sz w:val="22"/>
          <w:u w:val="single"/>
        </w:rPr>
        <w:t>Regular COBRA Payment</w:t>
      </w:r>
      <w:r>
        <w:rPr>
          <w:color w:val="000000"/>
        </w:rPr>
        <w:t>”</w:t>
      </w:r>
      <w:r>
        <w:rPr>
          <w:rFonts w:ascii="Times New Roman;serif" w:hAnsi="Times New Roman;serif"/>
          <w:b w:val="false"/>
          <w:color w:val="000000"/>
          <w:sz w:val="22"/>
        </w:rPr>
        <w:t>); and</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(v)outplacement service as provided by the Company for the Regular Outplacement Service Period.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 Schedule</w:t>
      </w:r>
      <w:r>
        <w:rPr>
          <w:rFonts w:ascii="Times New Roman;serif" w:hAnsi="Times New Roman;serif"/>
          <w:b w:val="false"/>
          <w:color w:val="000000"/>
          <w:sz w:val="22"/>
        </w:rPr>
        <w:t xml:space="preserve">. The Regular Severance Payment, the Regular COBRA Payment and the Pro Rata Bonus shall be paid to you in a single, lump-sum payment on the first regularly scheduled payroll date after the expiration of the Separation Agreement and Release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to the extent required to comply with Section 409A, if the Separation Agreement and Release Period spans two calendar years, the Regular Severance Payment, the Regular COBRA Payment and the Pro Rata Bonus shall be paid on the first regularly scheduled payroll date that occurs in the second calendar year.</w:t>
      </w:r>
    </w:p>
    <w:p>
      <w:pPr>
        <w:pStyle w:val="TextBody"/>
        <w:bidi w:val="0"/>
        <w:spacing w:lineRule="auto" w:line="240" w:before="0" w:after="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Severance Benefits Upon a Qualifying Separation During the CIC Protection Period.</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your employment ends due to a Qualifying Separation, and such Qualifying Separation occurs during the CIC Protection Period, so long as you have satisfied the Separation Agreement and Release Requirement and abide by the terms of </w:t>
      </w:r>
      <w:r>
        <w:rPr>
          <w:rFonts w:ascii="Times New Roman;serif" w:hAnsi="Times New Roman;serif"/>
          <w:b w:val="false"/>
          <w:color w:val="000000"/>
          <w:sz w:val="22"/>
          <w:u w:val="single"/>
        </w:rPr>
        <w:t>Section IV</w:t>
      </w:r>
      <w:r>
        <w:rPr>
          <w:color w:val="000000"/>
        </w:rPr>
        <w:t xml:space="preserve"> </w:t>
      </w:r>
      <w:r>
        <w:rPr>
          <w:rFonts w:ascii="Times New Roman;serif" w:hAnsi="Times New Roman;serif"/>
          <w:b w:val="false"/>
          <w:color w:val="000000"/>
          <w:sz w:val="22"/>
        </w:rPr>
        <w:t>herein, in addition the Accrued Obligations, you shall also be entitled to receive:</w:t>
      </w:r>
    </w:p>
    <w:p>
      <w:pPr>
        <w:pStyle w:val="TextBody"/>
        <w:bidi w:val="0"/>
        <w:spacing w:lineRule="auto" w:line="240" w:before="0" w:after="240"/>
        <w:ind w:left="0" w:right="0" w:hanging="720"/>
        <w:jc w:val="both"/>
        <w:rPr/>
      </w:pPr>
      <w:r>
        <w:rPr>
          <w:rFonts w:ascii="Times New Roman;serif" w:hAnsi="Times New Roman;serif"/>
          <w:b w:val="false"/>
          <w:color w:val="000000"/>
          <w:sz w:val="22"/>
        </w:rPr>
        <w:t xml:space="preserve">(i)a cash payment in an amount equal to the sum of (A) the CIC Salary Severance Multiple </w:t>
      </w:r>
      <w:r>
        <w:rPr>
          <w:rFonts w:ascii="Times New Roman;serif" w:hAnsi="Times New Roman;serif"/>
          <w:b w:val="false"/>
          <w:i/>
          <w:color w:val="000000"/>
          <w:sz w:val="22"/>
        </w:rPr>
        <w:t>multiplied by</w:t>
      </w:r>
      <w:r>
        <w:rPr>
          <w:color w:val="000000"/>
        </w:rPr>
        <w:t xml:space="preserve"> </w:t>
      </w:r>
      <w:r>
        <w:rPr>
          <w:rFonts w:ascii="Times New Roman;serif" w:hAnsi="Times New Roman;serif"/>
          <w:b w:val="false"/>
          <w:color w:val="000000"/>
          <w:sz w:val="22"/>
        </w:rPr>
        <w:t xml:space="preserve">your base salary as of the effective date of your Qualifying Separation (or, if higher, your base salary before any reduction thereto that would trigger your right to resign for Good Reason)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(B) the CIC Bonus Severance Multiple </w:t>
      </w:r>
      <w:r>
        <w:rPr>
          <w:rFonts w:ascii="Times New Roman;serif" w:hAnsi="Times New Roman;serif"/>
          <w:b w:val="false"/>
          <w:i/>
          <w:color w:val="000000"/>
          <w:sz w:val="22"/>
        </w:rPr>
        <w:t>multiplied by</w:t>
      </w:r>
      <w:r>
        <w:rPr>
          <w:color w:val="000000"/>
        </w:rPr>
        <w:t xml:space="preserve"> </w:t>
      </w:r>
      <w:r>
        <w:rPr>
          <w:rFonts w:ascii="Times New Roman;serif" w:hAnsi="Times New Roman;serif"/>
          <w:b w:val="false"/>
          <w:color w:val="000000"/>
          <w:sz w:val="22"/>
        </w:rPr>
        <w:t>your target annual bonus amount for the year in which your Qualifying Separation occurs (or, if higher, your target annual bonus amount before any reduction thereto that would trigger your right to resign for Good Reason) (such amount, the “</w:t>
      </w:r>
      <w:r>
        <w:rPr>
          <w:rFonts w:ascii="Times New Roman;serif" w:hAnsi="Times New Roman;serif"/>
          <w:b w:val="false"/>
          <w:color w:val="000000"/>
          <w:sz w:val="22"/>
          <w:u w:val="single"/>
        </w:rPr>
        <w:t>CIC Severance Payment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(ii)the Prior Year Bonus;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(iii)the Pro Rata Bonus; </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(iv)a cash payment equal to the product of (A) the monthly employer contribution towards the cost of participation in the Company’s employer-subsidized health plans in which you participate as of the date of your Qualifying Separation </w:t>
      </w: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i/>
          <w:color w:val="000000"/>
          <w:sz w:val="22"/>
        </w:rPr>
        <w:t>multiplied</w:t>
      </w:r>
      <w:r>
        <w:rPr>
          <w:color w:val="000000"/>
        </w:rPr>
        <w:t xml:space="preserve"> </w:t>
      </w:r>
      <w:r>
        <w:rPr>
          <w:rFonts w:ascii="Times New Roman;serif" w:hAnsi="Times New Roman;serif"/>
          <w:b w:val="false"/>
          <w:color w:val="000000"/>
          <w:sz w:val="22"/>
        </w:rPr>
        <w:t>by (B) the number of months in the CIC COBRA Period (the “</w:t>
      </w:r>
      <w:r>
        <w:rPr>
          <w:rFonts w:ascii="Times New Roman;serif" w:hAnsi="Times New Roman;serif"/>
          <w:b w:val="false"/>
          <w:color w:val="000000"/>
          <w:sz w:val="22"/>
          <w:u w:val="single"/>
        </w:rPr>
        <w:t>CIC COBRA Payment</w:t>
      </w:r>
      <w:r>
        <w:rPr>
          <w:color w:val="000000"/>
        </w:rPr>
        <w:t>”</w:t>
      </w:r>
      <w:r>
        <w:rPr>
          <w:rFonts w:ascii="Times New Roman;serif" w:hAnsi="Times New Roman;serif"/>
          <w:b w:val="false"/>
          <w:color w:val="000000"/>
          <w:sz w:val="22"/>
        </w:rPr>
        <w:t>); and</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(v)outplacement service as provided by the Company for the CIC Outplacement Service Period.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 Schedule</w:t>
      </w:r>
      <w:r>
        <w:rPr>
          <w:rFonts w:ascii="Times New Roman;serif" w:hAnsi="Times New Roman;serif"/>
          <w:b w:val="false"/>
          <w:color w:val="000000"/>
          <w:sz w:val="22"/>
        </w:rPr>
        <w:t>. The CIC Severance Payment, the CIC COBRA Payment and the Pro Rata Bonus shall be paid to you as follows: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(i)to the maximum extent permitted under Section 409A, the CIC Severance Payment, the CIC COBRA Payment and the Pro Rata Bonus shall be paid in a single, lump-sum payment, as soon as administratively feasible after the expiration of the Separation Agreement and Release Period, subject to any payment delay necessary to avoid adverse consequences under Section 409A; and</w:t>
      </w:r>
    </w:p>
    <w:p>
      <w:pPr>
        <w:pStyle w:val="TextBody"/>
        <w:bidi w:val="0"/>
        <w:spacing w:lineRule="auto" w:line="240" w:before="0" w:after="240"/>
        <w:ind w:left="0" w:right="0" w:hanging="720"/>
        <w:jc w:val="both"/>
        <w:rPr/>
      </w:pPr>
      <w:r>
        <w:rPr>
          <w:rFonts w:ascii="Times New Roman;serif" w:hAnsi="Times New Roman;serif"/>
          <w:b w:val="false"/>
          <w:color w:val="000000"/>
          <w:sz w:val="22"/>
        </w:rPr>
        <w:t xml:space="preserve">(ii)any remaining CIC Severance Payment, CIC COBRA Payment and Pro Rata Bonus after the application of </w:t>
      </w:r>
      <w:r>
        <w:rPr>
          <w:rFonts w:ascii="Times New Roman;serif" w:hAnsi="Times New Roman;serif"/>
          <w:b w:val="false"/>
          <w:color w:val="000000"/>
          <w:sz w:val="22"/>
          <w:u w:val="single"/>
        </w:rPr>
        <w:t>Section III.3(b)(i)</w:t>
      </w:r>
      <w:r>
        <w:rPr>
          <w:color w:val="000000"/>
        </w:rPr>
        <w:t xml:space="preserve"> </w:t>
      </w:r>
      <w:r>
        <w:rPr>
          <w:rFonts w:ascii="Times New Roman;serif" w:hAnsi="Times New Roman;serif"/>
          <w:b w:val="false"/>
          <w:color w:val="000000"/>
          <w:sz w:val="22"/>
        </w:rPr>
        <w:t xml:space="preserve">shall be paid in a single, lump-sum payment on the first regularly scheduled payroll date after the expiration of the Separation Agreement and Release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to the extent required to comply with Section 409A, if the Separation Agreement and Release Period spans two calendar years, such remaining CIC Severance Payment, CIC COBRA Payment and Pro Rata Bonus, pursuant to this </w:t>
      </w:r>
      <w:r>
        <w:rPr>
          <w:rFonts w:ascii="Times New Roman;serif" w:hAnsi="Times New Roman;serif"/>
          <w:b w:val="false"/>
          <w:color w:val="000000"/>
          <w:sz w:val="22"/>
          <w:u w:val="single"/>
        </w:rPr>
        <w:t>Section III.3(b)(ii)</w:t>
      </w:r>
      <w:r>
        <w:rPr>
          <w:rFonts w:ascii="Times New Roman;serif" w:hAnsi="Times New Roman;serif"/>
          <w:b w:val="false"/>
          <w:color w:val="000000"/>
          <w:sz w:val="22"/>
        </w:rPr>
        <w:t>, shall be paid on the first regularly scheduled payroll date that occurs in the second calendar year.</w:t>
      </w:r>
    </w:p>
    <w:p>
      <w:pPr>
        <w:pStyle w:val="TextBody"/>
        <w:bidi w:val="0"/>
        <w:spacing w:lineRule="auto" w:line="240" w:before="0" w:after="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 xml:space="preserve">Termination Due to Death or Disability.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Death or Disability Prior to a Qualifying Separation</w:t>
      </w:r>
      <w:r>
        <w:rPr>
          <w:rFonts w:ascii="Times New Roman;serif" w:hAnsi="Times New Roman;serif"/>
          <w:b w:val="false"/>
          <w:color w:val="000000"/>
          <w:sz w:val="22"/>
        </w:rPr>
        <w:t xml:space="preserve">. In the event of your death, or termination due to your physical or mental disability or incapacity, prior to a Qualifying Separation, the Company shall pay to you (or your estate, if applicable) the Accrued Obligations. The Accrued Obligations shall be paid to you within 20 days after your death or your becoming disabled or incapacitated (or such shorter period if required by law). Except as otherwise provided in this </w:t>
      </w:r>
      <w:r>
        <w:rPr>
          <w:rFonts w:ascii="Times New Roman;serif" w:hAnsi="Times New Roman;serif"/>
          <w:b w:val="false"/>
          <w:color w:val="000000"/>
          <w:sz w:val="22"/>
          <w:u w:val="single"/>
        </w:rPr>
        <w:t>Section III.4</w:t>
      </w:r>
      <w:r>
        <w:rPr>
          <w:rFonts w:ascii="Times New Roman;serif" w:hAnsi="Times New Roman;serif"/>
          <w:b w:val="false"/>
          <w:color w:val="000000"/>
          <w:sz w:val="22"/>
        </w:rPr>
        <w:t>, the Company Group shall have no liability or obligation to you by reason of your death or your becoming disabled or incapacitated (other than with respect to any equity-based awards).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Death or Disability After a Qualifying Separation</w:t>
      </w:r>
      <w:r>
        <w:rPr>
          <w:rFonts w:ascii="Times New Roman;serif" w:hAnsi="Times New Roman;serif"/>
          <w:b w:val="false"/>
          <w:color w:val="000000"/>
          <w:sz w:val="22"/>
        </w:rPr>
        <w:t xml:space="preserve">. In the event of your death, or physical or mental disability or incapacity, after your Qualifying Separation but prior to the payment of your entire severance benefits, then any remaining amounts owed to you as provided in this </w:t>
      </w:r>
      <w:r>
        <w:rPr>
          <w:rFonts w:ascii="Times New Roman;serif" w:hAnsi="Times New Roman;serif"/>
          <w:b w:val="false"/>
          <w:color w:val="000000"/>
          <w:sz w:val="22"/>
          <w:u w:val="single"/>
        </w:rPr>
        <w:t>Section III</w:t>
      </w:r>
      <w:r>
        <w:rPr>
          <w:color w:val="000000"/>
        </w:rPr>
        <w:t xml:space="preserve"> </w:t>
      </w:r>
      <w:r>
        <w:rPr>
          <w:rFonts w:ascii="Times New Roman;serif" w:hAnsi="Times New Roman;serif"/>
          <w:b w:val="false"/>
          <w:color w:val="000000"/>
          <w:sz w:val="22"/>
        </w:rPr>
        <w:t xml:space="preserve">shall be paid to you or, if applicable, to your estate, unless otherwise required by state law to be paid to another party, on the same payment schedule as provided in </w:t>
      </w:r>
      <w:r>
        <w:rPr>
          <w:rFonts w:ascii="Times New Roman;serif" w:hAnsi="Times New Roman;serif"/>
          <w:b w:val="false"/>
          <w:color w:val="000000"/>
          <w:sz w:val="22"/>
          <w:u w:val="single"/>
        </w:rPr>
        <w:t>Section III.2(b)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III.3(b)</w:t>
      </w:r>
      <w:r>
        <w:rPr>
          <w:rFonts w:ascii="Times New Roman;serif" w:hAnsi="Times New Roman;serif"/>
          <w:b w:val="false"/>
          <w:color w:val="000000"/>
          <w:sz w:val="22"/>
        </w:rPr>
        <w:t>,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III.4</w:t>
      </w:r>
      <w:r>
        <w:rPr>
          <w:rFonts w:ascii="Times New Roman;serif" w:hAnsi="Times New Roman;serif"/>
          <w:b w:val="false"/>
          <w:color w:val="000000"/>
          <w:sz w:val="22"/>
        </w:rPr>
        <w:t xml:space="preserve">, physical or mental “disability” or “incapacity” shall mean such condition which renders you unable to substantially perform your duties in your employment with the Company for a period of 90 or more consecutive days, or for a total period of 120 days in any six-consecutive month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Company shall provide 15 days’ prior written notice of its intent to terminate your employment due to your becoming physically or mentally disabled or incapacitated.</w:t>
      </w:r>
    </w:p>
    <w:p>
      <w:pPr>
        <w:pStyle w:val="TextBody"/>
        <w:bidi w:val="0"/>
        <w:spacing w:lineRule="auto" w:line="240" w:before="0" w:after="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Equity Awards</w:t>
      </w:r>
      <w:r>
        <w:rPr>
          <w:rFonts w:ascii="Times New Roman;serif" w:hAnsi="Times New Roman;serif"/>
          <w:b w:val="false"/>
          <w:color w:val="000000"/>
          <w:sz w:val="22"/>
        </w:rPr>
        <w:t>. Notwithstanding anything to the contrary in this Plan, any equity incentive awards granted to you pursuant to the</w:t>
      </w:r>
      <w:r>
        <w:rPr>
          <w:color w:val="000000"/>
        </w:rPr>
        <w:t xml:space="preserve"> </w:t>
      </w:r>
      <w:r>
        <w:rPr>
          <w:rFonts w:ascii="Times New Roman;serif" w:hAnsi="Times New Roman;serif"/>
          <w:b w:val="false"/>
          <w:color w:val="000000"/>
          <w:sz w:val="22"/>
        </w:rPr>
        <w:t>Omnibus Plan or otherwise, shall continue to be, and will be, governed in all respects by the terms of the</w:t>
      </w:r>
      <w:r>
        <w:rPr>
          <w:color w:val="000000"/>
        </w:rPr>
        <w:t xml:space="preserve"> </w:t>
      </w:r>
      <w:r>
        <w:rPr>
          <w:rFonts w:ascii="Times New Roman;serif" w:hAnsi="Times New Roman;serif"/>
          <w:b w:val="false"/>
          <w:color w:val="000000"/>
          <w:sz w:val="22"/>
        </w:rPr>
        <w:t>Omnibus Plan or other plan document(s) pursuant to which such awards were granted and the applicable award agreement governing such equity incentive awards granted to you thereunder, and nothing in this Plan shall be interpreted to amend or alter such terms in any way.</w:t>
      </w:r>
    </w:p>
    <w:p>
      <w:pPr>
        <w:pStyle w:val="TextBody"/>
        <w:bidi w:val="0"/>
        <w:spacing w:lineRule="auto" w:line="240"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 xml:space="preserve">Set-Off; Mitigation. </w:t>
      </w:r>
      <w:r>
        <w:rPr>
          <w:rFonts w:ascii="Times New Roman;serif" w:hAnsi="Times New Roman;serif"/>
          <w:b w:val="false"/>
          <w:color w:val="000000"/>
          <w:sz w:val="22"/>
        </w:rPr>
        <w:t xml:space="preserve">The Company’s obligation to pay you the amounts provided hereunder and to make the arrangements provided hereunder shall not be subject to set-off, counterclaim, or recoupment of amounts owed by you to the Company Group;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prior to a Change in Control only, the Company Group may place you on garden leave for a period of not more than 90 days </w:t>
      </w: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preceding your Qualifying Separation (such actual period, the “</w:t>
      </w:r>
      <w:r>
        <w:rPr>
          <w:rFonts w:ascii="Times New Roman;serif" w:hAnsi="Times New Roman;serif"/>
          <w:b w:val="false"/>
          <w:color w:val="000000"/>
          <w:sz w:val="22"/>
          <w:u w:val="single"/>
        </w:rPr>
        <w:t>Garden Leave Period</w:t>
      </w:r>
      <w:r>
        <w:rPr>
          <w:color w:val="000000"/>
        </w:rPr>
        <w:t>”</w:t>
      </w:r>
      <w:r>
        <w:rPr>
          <w:rFonts w:ascii="Times New Roman;serif" w:hAnsi="Times New Roman;serif"/>
          <w:b w:val="false"/>
          <w:color w:val="000000"/>
          <w:sz w:val="22"/>
        </w:rPr>
        <w:t>), in which case in the event you are placed on garden leave prior to a Qualifying Separation, (a) the Regular Severance Payment shall be reduced for the base salary paid to you during the Garden Leave Period; and (b) the Regular COBRA Period shall be reduced for the Garden Leave Period. You shall not be required to mitigate the amount of any payment provided pursuant to this Plan by seeking other employment or otherwise, and the amount of any payment provided pursuant to this Plan shall not be reduced by any compensation earned as a result of your other employment or otherwise.</w:t>
      </w:r>
    </w:p>
    <w:p>
      <w:pPr>
        <w:pStyle w:val="TextBody"/>
        <w:bidi w:val="0"/>
        <w:spacing w:lineRule="auto" w:line="240" w:before="0" w:after="240"/>
        <w:jc w:val="center"/>
        <w:rPr/>
      </w:pPr>
      <w:r>
        <w:rPr>
          <w:rFonts w:ascii="Times New Roman;serif" w:hAnsi="Times New Roman;serif"/>
          <w:b/>
          <w:color w:val="000000"/>
          <w:sz w:val="22"/>
        </w:rPr>
        <w:t>IV.</w:t>
      </w:r>
      <w:r>
        <w:rPr>
          <w:rFonts w:ascii="Times New Roman;serif" w:hAnsi="Times New Roman;serif"/>
          <w:b/>
          <w:color w:val="000000"/>
          <w:sz w:val="22"/>
          <w:u w:val="single"/>
        </w:rPr>
        <w:t>RESTRICTIVE COVENANT AGREEMENTS</w:t>
      </w:r>
    </w:p>
    <w:p>
      <w:pPr>
        <w:pStyle w:val="TextBody"/>
        <w:bidi w:val="0"/>
        <w:spacing w:lineRule="auto" w:line="240" w:before="0" w:after="240"/>
        <w:ind w:left="0" w:right="0" w:firstLine="720"/>
        <w:jc w:val="both"/>
        <w:rPr/>
      </w:pPr>
      <w:r>
        <w:rPr>
          <w:rFonts w:ascii="Times New Roman;serif" w:hAnsi="Times New Roman;serif"/>
          <w:b/>
          <w:color w:val="000000"/>
          <w:sz w:val="22"/>
        </w:rPr>
        <w:t>1.</w:t>
      </w:r>
      <w:r>
        <w:rPr>
          <w:rFonts w:ascii="Times New Roman;serif" w:hAnsi="Times New Roman;serif"/>
          <w:b w:val="false"/>
          <w:color w:val="000000"/>
          <w:sz w:val="22"/>
        </w:rPr>
        <w:t xml:space="preserve">By executing a Participation Letter and becoming a participant in this Plan, you acknowledge and agree that you are party to, and reaffirm your continuing obligations under, the Restrictive Covenant Agreements, the terms of which are incorporated by reference herein in their entirety. </w:t>
      </w:r>
    </w:p>
    <w:p>
      <w:pPr>
        <w:pStyle w:val="TextBody"/>
        <w:bidi w:val="0"/>
        <w:spacing w:before="0" w:after="120"/>
        <w:ind w:left="0" w:right="0" w:hanging="10"/>
        <w:jc w:val="both"/>
        <w:rPr/>
      </w:pPr>
      <w:r>
        <w:rPr/>
      </w:r>
    </w:p>
    <w:p>
      <w:pPr>
        <w:pStyle w:val="TextBody"/>
        <w:bidi w:val="0"/>
        <w:spacing w:lineRule="auto" w:line="240" w:before="0" w:after="240"/>
        <w:jc w:val="center"/>
        <w:rPr/>
      </w:pPr>
      <w:r>
        <w:rPr>
          <w:rFonts w:ascii="Times New Roman;serif" w:hAnsi="Times New Roman;serif"/>
          <w:b/>
          <w:color w:val="000000"/>
          <w:sz w:val="22"/>
        </w:rPr>
        <w:t>V.</w:t>
      </w:r>
      <w:r>
        <w:rPr>
          <w:rFonts w:ascii="Times New Roman;serif" w:hAnsi="Times New Roman;serif"/>
          <w:b/>
          <w:color w:val="000000"/>
          <w:sz w:val="22"/>
          <w:u w:val="single"/>
        </w:rPr>
        <w:t>ADMINISTRATION</w:t>
      </w:r>
    </w:p>
    <w:p>
      <w:pPr>
        <w:pStyle w:val="TextBody"/>
        <w:bidi w:val="0"/>
        <w:spacing w:lineRule="auto" w:line="240" w:before="0" w:after="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Plan Administrator.</w:t>
      </w:r>
      <w:r>
        <w:rPr>
          <w:color w:val="000000"/>
        </w:rPr>
        <w:t xml:space="preserve"> </w:t>
      </w:r>
      <w:r>
        <w:rPr>
          <w:rFonts w:ascii="Times New Roman;serif" w:hAnsi="Times New Roman;serif"/>
          <w:b w:val="false"/>
          <w:color w:val="000000"/>
          <w:sz w:val="22"/>
        </w:rPr>
        <w:t>The Company’s Chief Human Resources Officer shall be the “</w:t>
      </w:r>
      <w:r>
        <w:rPr>
          <w:rFonts w:ascii="Times New Roman;serif" w:hAnsi="Times New Roman;serif"/>
          <w:b w:val="false"/>
          <w:color w:val="000000"/>
          <w:sz w:val="22"/>
          <w:u w:val="single"/>
        </w:rPr>
        <w:t>Plan Administrator</w:t>
      </w:r>
      <w:r>
        <w:rPr>
          <w:rFonts w:ascii="Times New Roman;serif" w:hAnsi="Times New Roman;serif"/>
          <w:b w:val="false"/>
          <w:color w:val="000000"/>
          <w:sz w:val="22"/>
        </w:rPr>
        <w:t xml:space="preserve">,” and shall have authority to control and manage the operation and administration of this Plan. The Company’s Head of Total Rewards or such other person or persons designated by the Plan Administrator will handle the day-to-day administrative responsibilities for and on behalf of the Plan Administrator. </w:t>
      </w:r>
    </w:p>
    <w:p>
      <w:pPr>
        <w:pStyle w:val="TextBody"/>
        <w:bidi w:val="0"/>
        <w:spacing w:lineRule="auto" w:line="240" w:before="0" w:after="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Powers and Duties.</w:t>
      </w:r>
      <w:r>
        <w:rPr>
          <w:color w:val="000000"/>
        </w:rPr>
        <w:t xml:space="preserve"> </w:t>
      </w:r>
      <w:r>
        <w:rPr>
          <w:rFonts w:ascii="Times New Roman;serif" w:hAnsi="Times New Roman;serif"/>
          <w:b w:val="false"/>
          <w:color w:val="000000"/>
          <w:sz w:val="22"/>
        </w:rPr>
        <w:t xml:space="preserve">The Plan Administrator shall have discretionary authority to construe and interpret this Plan and to determine and resolve all questions relating to eligibility to participate in this Plan or the right to any severance or other benefits under this Plan. The Plan Administrator shall also have the authority to take any actions it considers necessary to discharge its duties and responsibilities under this Plan, including but not limited to: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Adopt such rules of procedure and regulations as are consistent with the provisions of this Plan and as it deems necessary and proper.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Maintain and keep accurate records concerning this Plan and concerning its proceedings and acts in such form and detail as the Plan Administrator may decide.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Employ agents, attorneys, accountants or other persons (who may also be employed by or represent the Company Group) for any purposes the Plan Administrator considers necessary or desirable.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Delegate any of the Plan Administrator’s powers or duties, including all or any part of its authority to manage and control the operation and administration of this Plan, to any officer or other authorized person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Determine the content and form of all documents required to carry out the terms of this Plan, including the content and form of the Separation Agreement and Release and the Participation Letter.</w:t>
      </w:r>
    </w:p>
    <w:p>
      <w:pPr>
        <w:pStyle w:val="TextBody"/>
        <w:bidi w:val="0"/>
        <w:spacing w:lineRule="auto" w:line="292" w:before="0" w:after="24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All decisions, interpretations and other actions of the Plan Administrator shall be final, conclusive and binding on all parties who have an interest in this Plan.</w:t>
      </w:r>
    </w:p>
    <w:p>
      <w:pPr>
        <w:pStyle w:val="TextBody"/>
        <w:bidi w:val="0"/>
        <w:spacing w:lineRule="auto" w:line="240" w:before="0" w:after="240"/>
        <w:jc w:val="center"/>
        <w:rPr/>
      </w:pPr>
      <w:r>
        <w:rPr>
          <w:rFonts w:ascii="Times New Roman;serif" w:hAnsi="Times New Roman;serif"/>
          <w:b/>
          <w:color w:val="000000"/>
          <w:sz w:val="22"/>
        </w:rPr>
        <w:t>VI.</w:t>
      </w:r>
      <w:r>
        <w:rPr>
          <w:rFonts w:ascii="Times New Roman;serif" w:hAnsi="Times New Roman;serif"/>
          <w:b/>
          <w:color w:val="000000"/>
          <w:sz w:val="22"/>
          <w:u w:val="single"/>
        </w:rPr>
        <w:t>CLAIMS</w:t>
      </w:r>
    </w:p>
    <w:p>
      <w:pPr>
        <w:pStyle w:val="TextBody"/>
        <w:bidi w:val="0"/>
        <w:spacing w:lineRule="auto" w:line="240" w:before="0" w:after="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Claim.</w:t>
      </w:r>
      <w:r>
        <w:rPr>
          <w:color w:val="000000"/>
        </w:rPr>
        <w:t xml:space="preserve"> </w:t>
      </w:r>
      <w:r>
        <w:rPr>
          <w:rFonts w:ascii="Times New Roman;serif" w:hAnsi="Times New Roman;serif"/>
          <w:b w:val="false"/>
          <w:color w:val="000000"/>
          <w:sz w:val="22"/>
        </w:rPr>
        <w:t>If you, your surviving spouse, your estate or any other person believes that he or she is being denied a benefit to which he or she is entitled (hereinafter referred to as the “</w:t>
      </w:r>
      <w:r>
        <w:rPr>
          <w:rFonts w:ascii="Times New Roman;serif" w:hAnsi="Times New Roman;serif"/>
          <w:b w:val="false"/>
          <w:color w:val="000000"/>
          <w:sz w:val="22"/>
          <w:u w:val="single"/>
        </w:rPr>
        <w:t>Claimant</w:t>
      </w:r>
      <w:r>
        <w:rPr>
          <w:color w:val="000000"/>
        </w:rPr>
        <w:t>”</w:t>
      </w:r>
      <w:r>
        <w:rPr>
          <w:rFonts w:ascii="Times New Roman;serif" w:hAnsi="Times New Roman;serif"/>
          <w:b w:val="false"/>
          <w:color w:val="000000"/>
          <w:sz w:val="22"/>
        </w:rPr>
        <w:t>), the Claimant or his or her duly authorized representative may file a written request for that benefit with the Plan Administrator setting forth his or her claim. The request must be addressed to:</w:t>
      </w:r>
    </w:p>
    <w:p>
      <w:pPr>
        <w:pStyle w:val="TextBody"/>
        <w:bidi w:val="0"/>
        <w:spacing w:lineRule="auto" w:line="292"/>
        <w:ind w:left="0" w:right="0" w:hanging="14"/>
        <w:jc w:val="left"/>
        <w:rPr>
          <w:rFonts w:ascii="Times New Roman;serif" w:hAnsi="Times New Roman;serif"/>
          <w:b w:val="false"/>
          <w:color w:val="000000"/>
          <w:sz w:val="22"/>
        </w:rPr>
      </w:pPr>
      <w:r>
        <w:rPr>
          <w:rFonts w:ascii="Times New Roman;serif" w:hAnsi="Times New Roman;serif"/>
          <w:b w:val="false"/>
          <w:color w:val="000000"/>
          <w:sz w:val="22"/>
        </w:rPr>
        <w:t>Medline Inc.</w:t>
      </w: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92" w:before="0" w:after="0"/>
        <w:ind w:left="0" w:right="0" w:hanging="14"/>
        <w:jc w:val="left"/>
        <w:rPr>
          <w:rFonts w:ascii="Times New Roman;serif" w:hAnsi="Times New Roman;serif"/>
          <w:b w:val="false"/>
          <w:color w:val="000000"/>
          <w:sz w:val="22"/>
        </w:rPr>
      </w:pPr>
      <w:r>
        <w:rPr>
          <w:rFonts w:ascii="Times New Roman;serif" w:hAnsi="Times New Roman;serif"/>
          <w:b w:val="false"/>
          <w:color w:val="000000"/>
          <w:sz w:val="22"/>
        </w:rPr>
        <w:t>ATTN: Chief Human Resources Officer</w:t>
        <w:br/>
        <w:t>3 Lakes Drive</w:t>
      </w:r>
    </w:p>
    <w:p>
      <w:pPr>
        <w:pStyle w:val="TextBody"/>
        <w:bidi w:val="0"/>
        <w:spacing w:lineRule="auto" w:line="292" w:before="0" w:after="240"/>
        <w:ind w:left="0" w:right="0" w:hanging="14"/>
        <w:jc w:val="left"/>
        <w:rPr>
          <w:rFonts w:ascii="Times New Roman;serif" w:hAnsi="Times New Roman;serif"/>
          <w:b w:val="false"/>
          <w:color w:val="000000"/>
          <w:sz w:val="22"/>
        </w:rPr>
      </w:pPr>
      <w:r>
        <w:rPr>
          <w:rFonts w:ascii="Times New Roman;serif" w:hAnsi="Times New Roman;serif"/>
          <w:b w:val="false"/>
          <w:color w:val="000000"/>
          <w:sz w:val="22"/>
        </w:rPr>
        <w:t xml:space="preserve">Northfield, Illinois 60093 </w:t>
      </w:r>
    </w:p>
    <w:p>
      <w:pPr>
        <w:pStyle w:val="TextBody"/>
        <w:bidi w:val="0"/>
        <w:spacing w:lineRule="auto" w:line="240" w:before="0" w:after="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Claim Decision.</w:t>
      </w:r>
      <w:r>
        <w:rPr>
          <w:color w:val="000000"/>
        </w:rPr>
        <w:t xml:space="preserve"> </w:t>
      </w:r>
      <w:r>
        <w:rPr>
          <w:rFonts w:ascii="Times New Roman;serif" w:hAnsi="Times New Roman;serif"/>
          <w:b w:val="false"/>
          <w:color w:val="000000"/>
          <w:sz w:val="22"/>
        </w:rPr>
        <w:t>Upon receipt of a claim, the Plan Administrator shall advise the Claimant that a reply will be forthcoming within a reasonable period of time, but ordinarily not later than 90 days after receipt of the claim, and shall, in fact, deliver such reply within such period. However, the Plan Administrator may extend the reply period for an additional 90 days after receipt for reasonable cause. If the reply period will be extended, the Plan Administrator shall advise the Claimant in writing during the initial 90-day period indicating the special circumstances requiring an extension and the date by which the Plan Administrator expects to render the benefit determination. If the claim is denied in whole or in part, the Plan Administrator will render a written opinion, using language calculated to be understood by the Claimant, setting forth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specific reason or reasons for the denial.</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specific references to pertinent Plan provisions on which the denial is based.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 description of any additional material or information necessary for the Claimant to perfect the claim and an explanation as to why such material or such information is necessary.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Appropriate information as to the steps to be taken if the Claimant wishes to submit the claim for review, including a statement of the Claimant’s right to bring a civil action under Section 502(a) of ERISA following an adverse benefit determination on review.</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time limits for requesting a review of the denial and for the actual review of the denial, as described below. </w:t>
      </w:r>
    </w:p>
    <w:p>
      <w:pPr>
        <w:pStyle w:val="TextBody"/>
        <w:bidi w:val="0"/>
        <w:spacing w:lineRule="auto" w:line="240" w:before="0" w:after="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Request for Review.</w:t>
      </w:r>
      <w:r>
        <w:rPr>
          <w:color w:val="000000"/>
        </w:rPr>
        <w:t xml:space="preserve"> </w:t>
      </w:r>
      <w:r>
        <w:rPr>
          <w:rFonts w:ascii="Times New Roman;serif" w:hAnsi="Times New Roman;serif"/>
          <w:b w:val="false"/>
          <w:color w:val="000000"/>
          <w:sz w:val="22"/>
        </w:rPr>
        <w:t>Within 60 days after the Claimant receives the written opinion denying his or her claim, the Claimant may file a written request with the Plan Administrator. The request must be addressed to:</w:t>
      </w:r>
    </w:p>
    <w:p>
      <w:pPr>
        <w:pStyle w:val="TextBody"/>
        <w:bidi w:val="0"/>
        <w:spacing w:lineRule="auto" w:line="292" w:before="0" w:after="0"/>
        <w:ind w:left="0" w:right="0" w:hanging="14"/>
        <w:jc w:val="left"/>
        <w:rPr>
          <w:rFonts w:ascii="Times New Roman;serif" w:hAnsi="Times New Roman;serif"/>
          <w:b w:val="false"/>
          <w:color w:val="000000"/>
          <w:sz w:val="22"/>
        </w:rPr>
      </w:pPr>
      <w:r>
        <w:rPr>
          <w:rFonts w:ascii="Times New Roman;serif" w:hAnsi="Times New Roman;serif"/>
          <w:b w:val="false"/>
          <w:color w:val="000000"/>
          <w:sz w:val="22"/>
        </w:rPr>
        <w:t>Medline Inc.</w:t>
      </w:r>
    </w:p>
    <w:p>
      <w:pPr>
        <w:pStyle w:val="TextBody"/>
        <w:bidi w:val="0"/>
        <w:spacing w:lineRule="auto" w:line="292" w:before="0" w:after="0"/>
        <w:ind w:left="0" w:right="0" w:hanging="14"/>
        <w:jc w:val="left"/>
        <w:rPr>
          <w:rFonts w:ascii="Times New Roman;serif" w:hAnsi="Times New Roman;serif"/>
          <w:b w:val="false"/>
          <w:color w:val="000000"/>
          <w:sz w:val="22"/>
        </w:rPr>
      </w:pPr>
      <w:r>
        <w:rPr>
          <w:rFonts w:ascii="Times New Roman;serif" w:hAnsi="Times New Roman;serif"/>
          <w:b w:val="false"/>
          <w:color w:val="000000"/>
          <w:sz w:val="22"/>
        </w:rPr>
        <w:t>ATTN: Chief Human Resources Officer</w:t>
        <w:br/>
        <w:t>3 Lakes Drive</w:t>
      </w:r>
    </w:p>
    <w:p>
      <w:pPr>
        <w:pStyle w:val="TextBody"/>
        <w:bidi w:val="0"/>
        <w:spacing w:lineRule="auto" w:line="292" w:before="0" w:after="240"/>
        <w:ind w:left="0" w:right="0" w:hanging="14"/>
        <w:jc w:val="left"/>
        <w:rPr>
          <w:rFonts w:ascii="Times New Roman;serif" w:hAnsi="Times New Roman;serif"/>
          <w:b w:val="false"/>
          <w:color w:val="000000"/>
          <w:sz w:val="22"/>
        </w:rPr>
      </w:pPr>
      <w:r>
        <w:rPr>
          <w:rFonts w:ascii="Times New Roman;serif" w:hAnsi="Times New Roman;serif"/>
          <w:b w:val="false"/>
          <w:color w:val="000000"/>
          <w:sz w:val="22"/>
        </w:rPr>
        <w:t>Northfield, Illinois 60093</w:t>
      </w:r>
    </w:p>
    <w:p>
      <w:pPr>
        <w:pStyle w:val="TextBody"/>
        <w:bidi w:val="0"/>
        <w:spacing w:lineRule="auto" w:line="292" w:before="0" w:after="240"/>
        <w:ind w:left="0" w:right="0" w:firstLine="710"/>
        <w:jc w:val="both"/>
        <w:rPr>
          <w:rFonts w:ascii="Times New Roman;serif" w:hAnsi="Times New Roman;serif"/>
          <w:b w:val="false"/>
          <w:color w:val="000000"/>
          <w:sz w:val="22"/>
        </w:rPr>
      </w:pPr>
      <w:r>
        <w:rPr>
          <w:rFonts w:ascii="Times New Roman;serif" w:hAnsi="Times New Roman;serif"/>
          <w:b w:val="false"/>
          <w:color w:val="000000"/>
          <w:sz w:val="22"/>
        </w:rPr>
        <w:t>If the Claimant does not request a review of the Plan Administrator’s prior determination within this 60-day period, he or she shall be barred and estopped from challenging that determination. The Claimant or his or her duly authorized representative may submit written comments, documents, records or other information relating to the denied claim, which such information shall be considered in the review under this subsection without regard to whether such information was submitted or considered in the initial benefit determination. The Claimant or his or her duly authorized representative shall be provided, upon request and free of charge, reasonable access to, and copies of, all documents, records and other information which (a) was relied upon by the Plan Administrator in making its initial claims decision, (b) was submitted, considered or generated in the course of the Plan Administrator making its initial claims decision, without regard to whether such instrument was actually relied upon by the Plan Administrator in making its decision, or (c) demonstrates compliance by the Plan Administrator with its administrative processes and safeguards designed to ensure and to verify that benefit claims determinations are made in accordance with governing Plan documents and that, where appropriate, this Plan’s provisions have been applied consistently with respect to similarly situated claimants.</w:t>
      </w:r>
    </w:p>
    <w:p>
      <w:pPr>
        <w:pStyle w:val="TextBody"/>
        <w:bidi w:val="0"/>
        <w:spacing w:lineRule="auto" w:line="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Review of Decision.</w:t>
      </w:r>
      <w:r>
        <w:rPr>
          <w:color w:val="000000"/>
        </w:rPr>
        <w:t xml:space="preserve"> </w:t>
      </w:r>
      <w:r>
        <w:rPr>
          <w:rFonts w:ascii="Times New Roman;serif" w:hAnsi="Times New Roman;serif"/>
          <w:b w:val="false"/>
          <w:color w:val="000000"/>
          <w:sz w:val="22"/>
        </w:rPr>
        <w:t xml:space="preserve">Within a reasonable period of time, ordinarily not later than 60 days, after the Plan Administrator’s receipt of a request for review, the Plan Administrator will review its prior determination. If special circumstances require that the 60-day time period be extended, the Plan </w:t>
      </w: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Administrator will notify the Claimant within the initial 60-day period, indicating the special circumstances requiring an extension and the date by which the Plan Administrator expects to render its decision on review, which shall be as soon as possible but not later than 120 days after receipt of the request for review. If the Plan Administrator makes an adverse benefit determination on review, the Plan Administrator will render a written opinion, using language calculated to be understood by the Claimant, setting forth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specific reason or reasons for the denial.</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specific references to pertinent Plan provisions on which the denial is based.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 statement that the Claimant is entitled to receive, upon request and free of charge, reasonable access to, and copies of, all documents, records and other information which (i) was relied upon by the Plan Administrator in making its decision, (ii) was submitted, considered or generated in the course of the Plan Administrator making its decision, without regard to whether such instrument was actually relied upon by the Plan Administrator in making its decision, or (iii) demonstrates compliance by the Plan Administrator with its administrative processes and safeguards designed to ensure and to verify that benefit claims determinations are made in accordance with governing Plan documents and that, where appropriate, this Plan’s provisions have been applied consistently with respect to similarly situated claimants.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 statement of the Claimant’s right to bring a civil action under Section 502(a) of ERISA.</w:t>
      </w:r>
    </w:p>
    <w:p>
      <w:pPr>
        <w:pStyle w:val="TextBody"/>
        <w:bidi w:val="0"/>
        <w:spacing w:lineRule="auto" w:line="240" w:before="24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Exhaustion of Administrative Remedies</w:t>
      </w:r>
      <w:r>
        <w:rPr>
          <w:rFonts w:ascii="Times New Roman;serif" w:hAnsi="Times New Roman;serif"/>
          <w:b w:val="false"/>
          <w:color w:val="000000"/>
          <w:sz w:val="22"/>
        </w:rPr>
        <w:t>. The exhaustion of these claims procedures is mandatory for resolving every claim and dispute arising under this Plan. As to such claims and disputes: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no Claimant shall be permitted to commence any legal action to recover benefits or to enforce or clarify rights under this Plan or under any provision of law until these claim procedures have been exhausted in their entirety;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failure to submit a claim, appeal or any required information by the applicable deadline under these claims procedures shall result in forfeiture of the benefits being claimed;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in any civil action, all explicit and implicit determinations by the Plan Administrator (including, but not limited to, interpretation of disputed plan terms, factual findings, and determinations as to whether the claim, or a request for a review of a denied claim, was timely filed) shall be afforded the maximum deference permitted by law and shall be overturned only if deemed unreasonable, arbitrary or capricious;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 legal action or arbitration may be commenced by you later than 180 days subsequent to the date you received the written response of the Plan Administrator to your request for review pursuant to </w:t>
      </w:r>
      <w:r>
        <w:rPr>
          <w:rFonts w:ascii="Times New Roman;serif" w:hAnsi="Times New Roman;serif"/>
          <w:b w:val="false"/>
          <w:color w:val="000000"/>
          <w:sz w:val="22"/>
          <w:u w:val="single"/>
        </w:rPr>
        <w:t>Section VI.3</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Plan Administrator’s Authority.</w:t>
      </w:r>
      <w:r>
        <w:rPr>
          <w:color w:val="000000"/>
        </w:rPr>
        <w:t xml:space="preserve"> </w:t>
      </w:r>
      <w:r>
        <w:rPr>
          <w:rFonts w:ascii="Times New Roman;serif" w:hAnsi="Times New Roman;serif"/>
          <w:b w:val="false"/>
          <w:color w:val="000000"/>
          <w:sz w:val="22"/>
        </w:rPr>
        <w:t>The Plan Administrator shall have sole and absolute authority to determine a Claimant’s eligibility for severance or other benefits under this Plan and to interpret the terms of this Plan. Benefits under this Plan will be provided only if the Plan Administrator decides in its discretion that the Claimant is entitled to those benefits. The decision of the Plan Administrator shall be final and non-reviewable, unless found to be arbitrary and capricious by a court of competent review. The Plan Administrator’s decision will be binding upon the Company and the Claimant. The Plan Administrator (including, but not limited to, anyone acting for and on behalf of the Plan Administrator) is responsible for establishing the rules necessary to administer this Plan, making final determinations regarding whether a particular benefit is payable under this Plan and whether any particular affiliate of the Company is properly participating in this Plan, keeping employee records, informing the participants of all changes or amendments to this Plan, bringing this Plan into conformity with governmental laws and regulations, and making available to all participants reports and documents as prescribed by law.</w:t>
      </w:r>
    </w:p>
    <w:p>
      <w:pPr>
        <w:pStyle w:val="TextBody"/>
        <w:bidi w:val="0"/>
        <w:spacing w:lineRule="auto" w:line="240" w:before="0" w:after="240"/>
        <w:jc w:val="center"/>
        <w:rPr/>
      </w:pPr>
      <w:r>
        <w:rPr>
          <w:rFonts w:ascii="Times New Roman;serif" w:hAnsi="Times New Roman;serif"/>
          <w:b/>
          <w:color w:val="000000"/>
          <w:sz w:val="22"/>
        </w:rPr>
        <w:t>VII.</w:t>
      </w:r>
      <w:r>
        <w:rPr>
          <w:rFonts w:ascii="Times New Roman;serif" w:hAnsi="Times New Roman;serif"/>
          <w:b/>
          <w:color w:val="000000"/>
          <w:sz w:val="22"/>
          <w:u w:val="single"/>
        </w:rPr>
        <w:t>GENERAL PROVISIONS</w:t>
      </w: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Amendment or Termination.</w:t>
      </w:r>
      <w:r>
        <w:rPr>
          <w:color w:val="000000"/>
        </w:rPr>
        <w:t xml:space="preserve"> </w:t>
      </w:r>
      <w:r>
        <w:rPr>
          <w:rFonts w:ascii="Times New Roman;serif" w:hAnsi="Times New Roman;serif"/>
          <w:b w:val="false"/>
          <w:color w:val="000000"/>
          <w:sz w:val="22"/>
        </w:rPr>
        <w:t xml:space="preserve">The Board shall have the right to amend, discontinue, or terminate this Plan, in whole or in part, at any time in its sole discretion;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 no such amendment, discontinuance, or termination shall be effective with respect to a participant who has undergone a Qualifying Separation prior to such amendment, discontinuance, or termination; (ii) no such amendment, discontinuance, or termination that has the effect of reducing or diminishing the potential benefits a participant may receive under this Plan that is not consented to in writing by such affected participant shall be effective with respect to such participant until the six-month anniversary of such amendment, discontinuance or termination (except for an amendment to the administrative provisions of this Plan that are considered by counsel to be required pursuant to applicable law), and (iii) this Plan may not be amended, discontinued or terminated in whole or in part prior to the final expiration date of the latest CIC Protection Period without the consent of the participants that are adversely affected by such amendment, discontinuance, or termination.</w:t>
      </w:r>
    </w:p>
    <w:p>
      <w:pPr>
        <w:pStyle w:val="TextBody"/>
        <w:bidi w:val="0"/>
        <w:spacing w:lineRule="auto" w:line="240" w:before="0" w:after="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No Assignment of Benefits.</w:t>
      </w:r>
      <w:r>
        <w:rPr>
          <w:color w:val="000000"/>
        </w:rPr>
        <w:t xml:space="preserve"> </w:t>
      </w:r>
      <w:r>
        <w:rPr>
          <w:rFonts w:ascii="Times New Roman;serif" w:hAnsi="Times New Roman;serif"/>
          <w:b w:val="false"/>
          <w:color w:val="000000"/>
          <w:sz w:val="22"/>
        </w:rPr>
        <w:t xml:space="preserve">Any right to severance or other benefits that you may have under this Plan cannot be sold, assigned, transferred or pledged to any other person. Prior to payment, those benefits are not subject to garnishment, attachment or seizure by a creditor or any other person in any manner. </w:t>
      </w:r>
    </w:p>
    <w:p>
      <w:pPr>
        <w:pStyle w:val="TextBody"/>
        <w:bidi w:val="0"/>
        <w:spacing w:lineRule="auto" w:line="240" w:before="0" w:after="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Section 409A</w:t>
      </w:r>
      <w:r>
        <w:rPr>
          <w:rFonts w:ascii="Times New Roman;serif" w:hAnsi="Times New Roman;serif"/>
          <w:b w:val="false"/>
          <w:color w:val="000000"/>
          <w:sz w:val="22"/>
        </w:rPr>
        <w:t>. This Plan is intended to comply with Section 409A or an exemption thereunder and shall be construed and administered in accordance with Section 409A. Notwithstanding any other provision of this Plan, payments provided under this Plan may only be made upon an event and in a manner that complies with Section 409A or an applicable exemption. Any payments under this Plan that may be excluded from Section 409A either as separation pay due to an involuntary separation from service or as a short-term deferral shall be excluded from Section 409A to the maximum extent possible. To the extent required by Section 409A, any payments to be made under this Plan upon the termination of your employment shall only be made if such termination of employment constitutes a “separation from service” under Section 409A. Each installment payment under this Plan is intended to be a separate payment for purposes of Section 409A. Notwithstanding any provision in this Plan to the contrary, if any payment or benefit provided for herein would be subject to additional taxes and interest under Section 409A if your receipt of such payment or benefit is not delayed until the earlier of (i) the date of your death or (ii) the date that is six (6) months after such after the termination of your employment (such date, the “</w:t>
      </w:r>
      <w:r>
        <w:rPr>
          <w:rFonts w:ascii="Times New Roman;serif" w:hAnsi="Times New Roman;serif"/>
          <w:b w:val="false"/>
          <w:color w:val="000000"/>
          <w:sz w:val="22"/>
          <w:u w:val="single"/>
        </w:rPr>
        <w:t>Section 409A Payment Date</w:t>
      </w:r>
      <w:r>
        <w:rPr>
          <w:color w:val="000000"/>
        </w:rPr>
        <w:t>”</w:t>
      </w:r>
      <w:r>
        <w:rPr>
          <w:rFonts w:ascii="Times New Roman;serif" w:hAnsi="Times New Roman;serif"/>
          <w:b w:val="false"/>
          <w:color w:val="000000"/>
          <w:sz w:val="22"/>
        </w:rPr>
        <w:t>), then such payment or benefit shall not be provided to you (or your estate, if applicable) until the Section 409A Payment Date. Notwithstanding the foregoing, the Company makes no representations that the payments and benefits provided under this Plan are exempt from, or compliant with, Section 409A and in no event shall the Company Group be liable for all or any portion of any taxes, penalties, interest or other expenses that may be incurred by you on account of non-compliance with Section 409A.</w:t>
      </w:r>
    </w:p>
    <w:p>
      <w:pPr>
        <w:pStyle w:val="TextBody"/>
        <w:bidi w:val="0"/>
        <w:spacing w:lineRule="auto" w:line="240"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Unfunded Plan.</w:t>
      </w:r>
      <w:r>
        <w:rPr>
          <w:color w:val="000000"/>
        </w:rPr>
        <w:t xml:space="preserve"> </w:t>
      </w:r>
      <w:r>
        <w:rPr>
          <w:rFonts w:ascii="Times New Roman;serif" w:hAnsi="Times New Roman;serif"/>
          <w:b w:val="false"/>
          <w:color w:val="000000"/>
          <w:sz w:val="22"/>
        </w:rPr>
        <w:t xml:space="preserve">Any payment made under this Plan shall be made from the general assets of the Company Group. No person shall have or acquire any interest in any assets of the Company Group by virtue of the provisions of this Plan. The obligation to pay severance benefits under this Plan shall be an unfunded and unsecured promise to pay money. In no event shall a person’s rights to receive those payments be greater than those of any other general unsecured creditor of the Company Group. </w:t>
      </w:r>
    </w:p>
    <w:p>
      <w:pPr>
        <w:pStyle w:val="TextBody"/>
        <w:bidi w:val="0"/>
        <w:spacing w:lineRule="auto" w:line="240"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No Trust Created.</w:t>
      </w:r>
      <w:r>
        <w:rPr>
          <w:color w:val="000000"/>
        </w:rPr>
        <w:t xml:space="preserve"> </w:t>
      </w:r>
      <w:r>
        <w:rPr>
          <w:rFonts w:ascii="Times New Roman;serif" w:hAnsi="Times New Roman;serif"/>
          <w:b w:val="false"/>
          <w:color w:val="000000"/>
          <w:sz w:val="22"/>
        </w:rPr>
        <w:t xml:space="preserve">This Plan and any action taken pursuant to this Plan shall not be construed as creating any kind of trust between the Company Group and you or any other person. </w:t>
      </w:r>
    </w:p>
    <w:p>
      <w:pPr>
        <w:pStyle w:val="TextBody"/>
        <w:bidi w:val="0"/>
        <w:spacing w:lineRule="auto" w:line="240" w:before="0" w:after="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Offset.</w:t>
      </w:r>
      <w:r>
        <w:rPr>
          <w:color w:val="000000"/>
        </w:rPr>
        <w:t xml:space="preserve"> </w:t>
      </w:r>
      <w:r>
        <w:rPr>
          <w:rFonts w:ascii="Times New Roman;serif" w:hAnsi="Times New Roman;serif"/>
          <w:b w:val="false"/>
          <w:color w:val="000000"/>
          <w:sz w:val="22"/>
        </w:rPr>
        <w:t xml:space="preserve">If you have any debt, obligation or other liability owing to the Company of any nature whatsoever at the time that a severance benefit becomes payable to you, your surviving spouse or your estate, the Company may offset the amount that you owe against the amount of the severance benefit otherwise payable under this Plan. </w:t>
      </w:r>
    </w:p>
    <w:p>
      <w:pPr>
        <w:pStyle w:val="TextBody"/>
        <w:bidi w:val="0"/>
        <w:spacing w:lineRule="auto" w:line="240" w:before="0" w:after="0"/>
        <w:ind w:left="0" w:right="0" w:firstLine="720"/>
        <w:jc w:val="both"/>
        <w:rPr/>
      </w:pPr>
      <w:r>
        <w:rPr>
          <w:rFonts w:ascii="Times New Roman;serif" w:hAnsi="Times New Roman;serif"/>
          <w:b/>
          <w:color w:val="000000"/>
          <w:sz w:val="22"/>
        </w:rPr>
        <w:t>7.</w:t>
      </w:r>
      <w:r>
        <w:rPr>
          <w:rFonts w:ascii="Times New Roman;serif" w:hAnsi="Times New Roman;serif"/>
          <w:b/>
          <w:color w:val="000000"/>
          <w:sz w:val="22"/>
        </w:rPr>
        <w:t>Withholding of Taxes.</w:t>
      </w:r>
      <w:r>
        <w:rPr>
          <w:color w:val="000000"/>
        </w:rPr>
        <w:t xml:space="preserve"> </w:t>
      </w:r>
      <w:r>
        <w:rPr>
          <w:rFonts w:ascii="Times New Roman;serif" w:hAnsi="Times New Roman;serif"/>
          <w:b w:val="false"/>
          <w:color w:val="000000"/>
          <w:sz w:val="22"/>
        </w:rPr>
        <w:t xml:space="preserve">The Company Group will withhold from any severance benefit payable under this Plan all federal, state, local or other taxes as it may determine is appropriate and may be required pursuant to any law, governmental regulation or ruling. </w:t>
      </w:r>
    </w:p>
    <w:p>
      <w:pPr>
        <w:pStyle w:val="TextBody"/>
        <w:bidi w:val="0"/>
        <w:spacing w:lineRule="auto" w:line="240"/>
        <w:ind w:left="0" w:right="0" w:firstLine="720"/>
        <w:jc w:val="both"/>
        <w:rPr/>
      </w:pPr>
      <w:r>
        <w:rPr>
          <w:rFonts w:ascii="Times New Roman;serif" w:hAnsi="Times New Roman;serif"/>
          <w:b/>
          <w:color w:val="000000"/>
          <w:sz w:val="22"/>
        </w:rPr>
        <w:t>8.</w:t>
      </w:r>
      <w:r>
        <w:rPr>
          <w:rFonts w:ascii="Times New Roman;serif" w:hAnsi="Times New Roman;serif"/>
          <w:b/>
          <w:color w:val="000000"/>
          <w:sz w:val="22"/>
        </w:rPr>
        <w:t>No Guarantee of Employment or Other Benefits.</w:t>
      </w:r>
      <w:r>
        <w:rPr>
          <w:color w:val="000000"/>
        </w:rPr>
        <w:t xml:space="preserve"> </w:t>
      </w:r>
      <w:r>
        <w:rPr>
          <w:rFonts w:ascii="Times New Roman;serif" w:hAnsi="Times New Roman;serif"/>
          <w:b w:val="false"/>
          <w:color w:val="000000"/>
          <w:sz w:val="22"/>
        </w:rPr>
        <w:t xml:space="preserve">Your employment with the Company Group is on an “at will” basis. This means that the employment relationship may be terminated at any time by either you or the Company Group for any reason not expressly prohibited by law. Any representation to the contrary is invalid and unenforceable and should not be relied upon. Participation in this Plan and the receipt of benefits under this Plan shall not automatically be deemed employment for purposes of any other employee benefit plan including, without limitation, participation in (a) any other </w:t>
      </w:r>
    </w:p>
    <w:p>
      <w:pPr>
        <w:pStyle w:val="TextBody"/>
        <w:bidi w:val="0"/>
        <w:spacing w:before="0" w:after="0"/>
        <w:ind w:left="0" w:right="0" w:hanging="1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benefit plan such as medical, dental, disability or other welfare benefit plan, (b) any retirement plan, or (c) any other type of benefit. </w:t>
      </w:r>
    </w:p>
    <w:p>
      <w:pPr>
        <w:pStyle w:val="TextBody"/>
        <w:bidi w:val="0"/>
        <w:spacing w:lineRule="auto" w:line="240" w:before="0" w:after="0"/>
        <w:ind w:left="0" w:right="0" w:firstLine="720"/>
        <w:jc w:val="both"/>
        <w:rPr/>
      </w:pPr>
      <w:r>
        <w:rPr>
          <w:rFonts w:ascii="Times New Roman;serif" w:hAnsi="Times New Roman;serif"/>
          <w:b/>
          <w:color w:val="000000"/>
          <w:sz w:val="22"/>
        </w:rPr>
        <w:t>9.</w:t>
      </w:r>
      <w:r>
        <w:rPr>
          <w:rFonts w:ascii="Times New Roman;serif" w:hAnsi="Times New Roman;serif"/>
          <w:b/>
          <w:color w:val="000000"/>
          <w:sz w:val="22"/>
        </w:rPr>
        <w:t>Governing Law.</w:t>
      </w:r>
      <w:r>
        <w:rPr>
          <w:color w:val="000000"/>
        </w:rPr>
        <w:t xml:space="preserve"> </w:t>
      </w:r>
      <w:r>
        <w:rPr>
          <w:rFonts w:ascii="Times New Roman;serif" w:hAnsi="Times New Roman;serif"/>
          <w:b w:val="false"/>
          <w:color w:val="000000"/>
          <w:sz w:val="22"/>
        </w:rPr>
        <w:t xml:space="preserve">This Plan shall be construed, governed and administered in accordance with the laws of the State of Delaware to the extent such laws are not preempted by ERISA. </w:t>
      </w:r>
    </w:p>
    <w:p>
      <w:pPr>
        <w:pStyle w:val="TextBody"/>
        <w:bidi w:val="0"/>
        <w:spacing w:lineRule="auto" w:line="240" w:before="0" w:after="0"/>
        <w:ind w:left="0" w:right="0" w:firstLine="720"/>
        <w:jc w:val="both"/>
        <w:rPr/>
      </w:pPr>
      <w:r>
        <w:rPr>
          <w:rFonts w:ascii="Times New Roman;serif" w:hAnsi="Times New Roman;serif"/>
          <w:b/>
          <w:color w:val="000000"/>
          <w:sz w:val="22"/>
        </w:rPr>
        <w:t>10.</w:t>
      </w:r>
      <w:r>
        <w:rPr>
          <w:rFonts w:ascii="Times New Roman;serif" w:hAnsi="Times New Roman;serif"/>
          <w:b/>
          <w:color w:val="000000"/>
          <w:sz w:val="22"/>
        </w:rPr>
        <w:t>Notices.</w:t>
      </w:r>
      <w:r>
        <w:rPr>
          <w:color w:val="000000"/>
        </w:rPr>
        <w:t xml:space="preserve"> </w:t>
      </w:r>
      <w:r>
        <w:rPr>
          <w:rFonts w:ascii="Times New Roman;serif" w:hAnsi="Times New Roman;serif"/>
          <w:b w:val="false"/>
          <w:color w:val="000000"/>
          <w:sz w:val="22"/>
        </w:rPr>
        <w:t>Any notice required or permitted to be given under the provisions of this Plan shall be in writing. If a notice is mailed, it shall be sent by United States first class mail, postage prepaid, addressed to the recipient’s last known address as shown on the Company’s records. The date of mailing shall be deemed the date of notice.</w:t>
      </w:r>
    </w:p>
    <w:p>
      <w:pPr>
        <w:pStyle w:val="TextBody"/>
        <w:bidi w:val="0"/>
        <w:spacing w:lineRule="auto" w:line="240"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rPr>
        <w:t>Plan Controls</w:t>
      </w:r>
      <w:r>
        <w:rPr>
          <w:rFonts w:ascii="Times New Roman;serif" w:hAnsi="Times New Roman;serif"/>
          <w:b w:val="false"/>
          <w:color w:val="000000"/>
          <w:sz w:val="22"/>
        </w:rPr>
        <w:t xml:space="preserve">. In the event of any inconsistency between this Plan document and any other communication regarding this Plan, this Plan document shall control. The captions in this Plan are not part of the provisions hereof and shall have no force or effect. </w:t>
      </w:r>
    </w:p>
    <w:p>
      <w:pPr>
        <w:pStyle w:val="TextBody"/>
        <w:bidi w:val="0"/>
        <w:spacing w:lineRule="auto" w:line="292" w:before="0" w:after="120"/>
        <w:ind w:left="0" w:right="0" w:hanging="10"/>
        <w:jc w:val="center"/>
        <w:rPr>
          <w:rFonts w:ascii="Times New Roman;serif" w:hAnsi="Times New Roman;serif"/>
          <w:b w:val="false"/>
          <w:i/>
          <w:color w:val="000000"/>
          <w:sz w:val="22"/>
        </w:rPr>
      </w:pPr>
      <w:r>
        <w:rPr>
          <w:rFonts w:ascii="Times New Roman;serif" w:hAnsi="Times New Roman;serif"/>
          <w:b w:val="false"/>
          <w:i/>
          <w:color w:val="000000"/>
          <w:sz w:val="22"/>
        </w:rPr>
        <w:t>[Remainder of Page Intentionally Left Blank]</w:t>
      </w:r>
    </w:p>
    <w:p>
      <w:pPr>
        <w:pStyle w:val="TextBody"/>
        <w:bidi w:val="0"/>
        <w:spacing w:before="0" w:after="120"/>
        <w:ind w:left="0" w:right="0" w:hanging="1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120"/>
        <w:ind w:left="0" w:right="0" w:hanging="10"/>
        <w:jc w:val="both"/>
        <w:rPr/>
      </w:pPr>
      <w:r>
        <w:rPr/>
      </w:r>
    </w:p>
    <w:p>
      <w:pPr>
        <w:pStyle w:val="TextBody"/>
        <w:bidi w:val="0"/>
        <w:spacing w:lineRule="auto" w:line="292" w:before="0" w:after="3"/>
        <w:ind w:left="0" w:right="0" w:hanging="10"/>
        <w:jc w:val="left"/>
        <w:rPr>
          <w:rFonts w:ascii="Times New Roman;serif" w:hAnsi="Times New Roman;serif"/>
          <w:b w:val="false"/>
          <w:i/>
          <w:color w:val="000000"/>
          <w:sz w:val="22"/>
          <w:u w:val="single"/>
        </w:rPr>
      </w:pPr>
      <w:r>
        <w:rPr>
          <w:rFonts w:ascii="Times New Roman;serif" w:hAnsi="Times New Roman;serif"/>
          <w:b w:val="false"/>
          <w:i/>
          <w:color w:val="000000"/>
          <w:sz w:val="22"/>
          <w:u w:val="single"/>
        </w:rPr>
        <w:t xml:space="preserve">/s/ Christopher Shryock         </w:t>
      </w:r>
    </w:p>
    <w:p>
      <w:pPr>
        <w:pStyle w:val="TextBody"/>
        <w:bidi w:val="0"/>
        <w:spacing w:lineRule="auto" w:line="292" w:before="0" w:after="3"/>
        <w:ind w:left="0" w:right="0" w:hanging="10"/>
        <w:jc w:val="left"/>
        <w:rPr>
          <w:rFonts w:ascii="Times New Roman;serif" w:hAnsi="Times New Roman;serif"/>
          <w:b w:val="false"/>
          <w:color w:val="000000"/>
          <w:sz w:val="22"/>
        </w:rPr>
      </w:pPr>
      <w:r>
        <w:rPr>
          <w:rFonts w:ascii="Times New Roman;serif" w:hAnsi="Times New Roman;serif"/>
          <w:b w:val="false"/>
          <w:color w:val="000000"/>
          <w:sz w:val="22"/>
        </w:rPr>
        <w:t>Medline Inc.</w:t>
      </w:r>
    </w:p>
    <w:p>
      <w:pPr>
        <w:pStyle w:val="TextBody"/>
        <w:bidi w:val="0"/>
        <w:spacing w:lineRule="auto" w:line="292" w:before="0" w:after="3"/>
        <w:ind w:left="0" w:right="0" w:hanging="10"/>
        <w:jc w:val="left"/>
        <w:rPr>
          <w:rFonts w:ascii="Times New Roman;serif" w:hAnsi="Times New Roman;serif"/>
          <w:b w:val="false"/>
          <w:color w:val="000000"/>
          <w:sz w:val="22"/>
        </w:rPr>
      </w:pPr>
      <w:r>
        <w:rPr>
          <w:rFonts w:ascii="Times New Roman;serif" w:hAnsi="Times New Roman;serif"/>
          <w:b w:val="false"/>
          <w:color w:val="000000"/>
          <w:sz w:val="22"/>
        </w:rPr>
        <w:t>By: Christopher Shryock</w:t>
      </w:r>
    </w:p>
    <w:p>
      <w:pPr>
        <w:pStyle w:val="TextBody"/>
        <w:bidi w:val="0"/>
        <w:spacing w:lineRule="auto" w:line="292" w:before="0" w:after="3"/>
        <w:ind w:left="0" w:right="0" w:hanging="10"/>
        <w:jc w:val="left"/>
        <w:rPr>
          <w:rFonts w:ascii="Times New Roman;serif" w:hAnsi="Times New Roman;serif"/>
          <w:b w:val="false"/>
          <w:color w:val="000000"/>
          <w:sz w:val="22"/>
        </w:rPr>
      </w:pPr>
      <w:r>
        <w:rPr>
          <w:rFonts w:ascii="Times New Roman;serif" w:hAnsi="Times New Roman;serif"/>
          <w:b w:val="false"/>
          <w:color w:val="000000"/>
          <w:sz w:val="22"/>
        </w:rPr>
        <w:t>Its:    Chief Human Resources Officer</w:t>
      </w:r>
    </w:p>
    <w:p>
      <w:pPr>
        <w:pStyle w:val="TextBody"/>
        <w:bidi w:val="0"/>
        <w:spacing w:before="0" w:after="3"/>
        <w:jc w:val="left"/>
        <w:rPr/>
      </w:pPr>
      <w:r>
        <w:rPr/>
      </w:r>
    </w:p>
    <w:p>
      <w:pPr>
        <w:pStyle w:val="TextBody"/>
        <w:bidi w:val="0"/>
        <w:spacing w:before="0" w:after="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67665"/>
                <wp:effectExtent l="0" t="0" r="0" b="0"/>
                <wp:wrapNone/>
                <wp:docPr id="172" name="Frame1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Amended and Restated Medline Inc. Executive Severance Plan]</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Amended and Restated Medline Inc. Executive Severance Plan]</w:t>
                      </w:r>
                    </w:p>
                    <w:p>
                      <w:pPr>
                        <w:pStyle w:val="TextBody"/>
                        <w:bidi w:val="0"/>
                        <w:spacing w:before="0" w:after="0"/>
                        <w:jc w:val="center"/>
                        <w:rPr/>
                      </w:pPr>
                      <w:r>
                        <w:rPr/>
                      </w:r>
                    </w:p>
                  </w:txbxContent>
                </v:textbox>
                <w10:wrap type="none"/>
              </v:rect>
            </w:pict>
          </mc:Fallback>
        </mc:AlternateContent>
      </w:r>
    </w:p>
    <w:p>
      <w:pPr>
        <w:pStyle w:val="TextBody"/>
        <w:bidi w:val="0"/>
        <w:spacing w:lineRule="auto" w:line="292" w:before="0" w:after="3"/>
        <w:ind w:left="0" w:right="0" w:hanging="1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before="0" w:after="240"/>
        <w:jc w:val="both"/>
        <w:rPr/>
      </w:pPr>
      <w:r>
        <w:rPr/>
      </w:r>
    </w:p>
    <w:tbl>
      <w:tblPr>
        <w:tblW w:w="11470" w:type="dxa"/>
        <w:jc w:val="left"/>
        <w:tblInd w:w="0" w:type="dxa"/>
        <w:tblLayout w:type="fixed"/>
        <w:tblCellMar>
          <w:top w:w="28" w:type="dxa"/>
          <w:left w:w="28" w:type="dxa"/>
          <w:bottom w:w="28" w:type="dxa"/>
          <w:right w:w="28" w:type="dxa"/>
        </w:tblCellMar>
      </w:tblPr>
      <w:tblGrid>
        <w:gridCol w:w="476"/>
        <w:gridCol w:w="287"/>
        <w:gridCol w:w="288"/>
        <w:gridCol w:w="370"/>
        <w:gridCol w:w="370"/>
        <w:gridCol w:w="371"/>
        <w:gridCol w:w="370"/>
        <w:gridCol w:w="370"/>
        <w:gridCol w:w="371"/>
        <w:gridCol w:w="310"/>
        <w:gridCol w:w="310"/>
        <w:gridCol w:w="311"/>
        <w:gridCol w:w="490"/>
        <w:gridCol w:w="490"/>
        <w:gridCol w:w="491"/>
        <w:gridCol w:w="375"/>
        <w:gridCol w:w="375"/>
        <w:gridCol w:w="376"/>
        <w:gridCol w:w="370"/>
        <w:gridCol w:w="370"/>
        <w:gridCol w:w="371"/>
        <w:gridCol w:w="370"/>
        <w:gridCol w:w="370"/>
        <w:gridCol w:w="371"/>
        <w:gridCol w:w="310"/>
        <w:gridCol w:w="310"/>
        <w:gridCol w:w="311"/>
        <w:gridCol w:w="444"/>
        <w:gridCol w:w="444"/>
        <w:gridCol w:w="628"/>
      </w:tblGrid>
      <w:tr>
        <w:trPr/>
        <w:tc>
          <w:tcPr>
            <w:tcW w:w="47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Eligible Position</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Regular</w:t>
              <w:br/>
              <w:t>Salary Severance Multiple</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Regular</w:t>
              <w:br/>
              <w:t>Bonus Severance Multiple</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Regular</w:t>
              <w:br/>
              <w:t>COBRA Period</w:t>
            </w:r>
          </w:p>
        </w:tc>
        <w:tc>
          <w:tcPr>
            <w:tcW w:w="14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Regular Outplacement Service Period</w:t>
            </w:r>
          </w:p>
        </w:tc>
        <w:tc>
          <w:tcPr>
            <w:tcW w:w="11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CIC Protection Period</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CIC Salary Severance Multiple</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CIC Bonus Severance Multiple</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CIC COBRA Period</w:t>
            </w:r>
          </w:p>
        </w:tc>
        <w:tc>
          <w:tcPr>
            <w:tcW w:w="15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92"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CIC Outplacement Service Period</w:t>
            </w:r>
          </w:p>
        </w:tc>
      </w:tr>
      <w:tr>
        <w:trPr/>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Chief Executive Officer</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21 months</w:t>
            </w:r>
          </w:p>
        </w:tc>
        <w:tc>
          <w:tcPr>
            <w:tcW w:w="14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12 months</w:t>
            </w:r>
          </w:p>
        </w:tc>
        <w:tc>
          <w:tcPr>
            <w:tcW w:w="11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24 months</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24 months</w:t>
            </w:r>
          </w:p>
        </w:tc>
        <w:tc>
          <w:tcPr>
            <w:tcW w:w="15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12 months</w:t>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EVP+</w:t>
            </w:r>
          </w:p>
        </w:tc>
        <w:tc>
          <w:tcPr>
            <w:tcW w:w="11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1.5</w:t>
            </w:r>
          </w:p>
        </w:tc>
        <w:tc>
          <w:tcPr>
            <w:tcW w:w="11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1.5</w:t>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18 months</w:t>
            </w:r>
          </w:p>
        </w:tc>
        <w:tc>
          <w:tcPr>
            <w:tcW w:w="14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12 months</w:t>
            </w:r>
          </w:p>
        </w:tc>
        <w:tc>
          <w:tcPr>
            <w:tcW w:w="11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18 months</w:t>
            </w:r>
          </w:p>
        </w:tc>
        <w:tc>
          <w:tcPr>
            <w:tcW w:w="11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11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24 months</w:t>
            </w:r>
          </w:p>
        </w:tc>
        <w:tc>
          <w:tcPr>
            <w:tcW w:w="151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92" w:before="120" w:after="120"/>
              <w:jc w:val="center"/>
              <w:rPr>
                <w:rFonts w:ascii="Times New Roman;serif" w:hAnsi="Times New Roman;serif"/>
                <w:b w:val="false"/>
                <w:color w:val="000000"/>
                <w:sz w:val="22"/>
              </w:rPr>
            </w:pPr>
            <w:r>
              <w:rPr>
                <w:rFonts w:ascii="Times New Roman;serif" w:hAnsi="Times New Roman;serif"/>
                <w:b w:val="false"/>
                <w:color w:val="000000"/>
                <w:sz w:val="22"/>
              </w:rPr>
              <w:t>12 months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3"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92"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Attachment 1</w:t>
      </w:r>
    </w:p>
    <w:p>
      <w:pPr>
        <w:pStyle w:val="TextBody"/>
        <w:bidi w:val="0"/>
        <w:spacing w:before="0" w:after="0"/>
        <w:jc w:val="center"/>
        <w:rPr/>
      </w:pPr>
      <w:r>
        <w:rPr/>
      </w:r>
    </w:p>
    <w:p>
      <w:pPr>
        <w:pStyle w:val="TextBody"/>
        <w:bidi w:val="0"/>
        <w:spacing w:lineRule="auto" w:line="292" w:before="0" w:after="0"/>
        <w:jc w:val="center"/>
        <w:rPr>
          <w:rFonts w:ascii="Times New Roman;serif" w:hAnsi="Times New Roman;serif"/>
          <w:b w:val="false"/>
          <w:color w:val="000000"/>
          <w:sz w:val="22"/>
        </w:rPr>
      </w:pPr>
      <w:r>
        <w:rPr>
          <w:rFonts w:ascii="Times New Roman;serif" w:hAnsi="Times New Roman;serif"/>
          <w:b w:val="false"/>
          <w:color w:val="000000"/>
          <w:sz w:val="22"/>
        </w:rPr>
        <w:t>[Participation Letter]</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92"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Attachment 2</w:t>
      </w:r>
    </w:p>
    <w:p>
      <w:pPr>
        <w:pStyle w:val="TextBody"/>
        <w:bidi w:val="0"/>
        <w:spacing w:before="0" w:after="0"/>
        <w:jc w:val="center"/>
        <w:rPr/>
      </w:pPr>
      <w:r>
        <w:rPr/>
      </w:r>
    </w:p>
    <w:p>
      <w:pPr>
        <w:pStyle w:val="TextBody"/>
        <w:bidi w:val="0"/>
        <w:spacing w:lineRule="auto" w:line="292"/>
        <w:jc w:val="center"/>
        <w:rPr>
          <w:rFonts w:ascii="Times New Roman;serif" w:hAnsi="Times New Roman;serif"/>
          <w:b w:val="false"/>
          <w:color w:val="000000"/>
          <w:sz w:val="22"/>
        </w:rPr>
      </w:pPr>
      <w:r>
        <w:rPr>
          <w:rFonts w:ascii="Times New Roman;serif" w:hAnsi="Times New Roman;serif"/>
          <w:b w:val="false"/>
          <w:color w:val="000000"/>
          <w:sz w:val="22"/>
        </w:rPr>
        <w:t>[Separation Agreement and Release]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10.38</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2"/>
        </w:rPr>
      </w:pPr>
      <w:r>
        <w:rPr>
          <w:rFonts w:ascii="Times New Roman;serif" w:hAnsi="Times New Roman;serif"/>
          <w:b/>
          <w:color w:val="000000"/>
          <w:sz w:val="22"/>
        </w:rPr>
        <w:t>RSU GRANT NOTICE</w:t>
        <w:br/>
        <w:t>UNDER THE</w:t>
        <w:br/>
        <w:t>MEDLINE INC.</w:t>
        <w:br/>
        <w:t>2025 OMNIBUS INCENTIVE PLAN</w:t>
        <w:br/>
        <w:t>(Initial RSU Grant – Directors)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Medline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the Medline Inc. 2025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number of Restricted Stock Units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set forth below. The RSUs are subject to all of the terms and conditions as set forth herein, in the Restricted Stock Unit Agreement (attached hereto) (the “</w:t>
      </w:r>
      <w:r>
        <w:rPr>
          <w:rFonts w:ascii="Times New Roman;serif" w:hAnsi="Times New Roman;serif"/>
          <w:b w:val="false"/>
          <w:color w:val="000000"/>
          <w:sz w:val="22"/>
          <w:u w:val="single"/>
        </w:rPr>
        <w:t>RSU Agreement</w:t>
      </w:r>
      <w:r>
        <w:rPr>
          <w:color w:val="000000"/>
        </w:rPr>
        <w:t>”</w:t>
      </w:r>
      <w:r>
        <w:rPr>
          <w:rFonts w:ascii="Times New Roman;serif" w:hAnsi="Times New Roman;serif"/>
          <w:b w:val="false"/>
          <w:color w:val="000000"/>
          <w:sz w:val="22"/>
        </w:rPr>
        <w:t>), and in the Plan, all of which are incorporated herein in their entirety. Capitalized terms not otherwise defined herein shall have the meaning set forth in the Plan.</w:t>
      </w:r>
    </w:p>
    <w:p>
      <w:pPr>
        <w:pStyle w:val="TextBody"/>
        <w:bidi w:val="0"/>
        <w:spacing w:lineRule="auto" w:line="288" w:before="0" w:after="240"/>
        <w:ind w:left="0" w:right="0" w:hanging="3600"/>
        <w:jc w:val="left"/>
        <w:rPr/>
      </w:pPr>
      <w:r>
        <w:rPr>
          <w:rFonts w:ascii="Times New Roman;serif" w:hAnsi="Times New Roman;serif"/>
          <w:b/>
          <w:color w:val="000000"/>
          <w:sz w:val="22"/>
        </w:rPr>
        <w:t>Participant</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Date of Grant</w:t>
      </w:r>
      <w:r>
        <w:rPr>
          <w:rFonts w:ascii="Times New Roman;serif" w:hAnsi="Times New Roman;serif"/>
          <w:b w:val="false"/>
          <w:color w:val="000000"/>
          <w:sz w:val="22"/>
        </w:rPr>
        <w:t>:     December 17, 2025</w:t>
      </w:r>
    </w:p>
    <w:p>
      <w:pPr>
        <w:pStyle w:val="TextBody"/>
        <w:bidi w:val="0"/>
        <w:spacing w:lineRule="auto" w:line="288" w:before="0" w:after="240"/>
        <w:ind w:left="0" w:right="0" w:hanging="3600"/>
        <w:jc w:val="left"/>
        <w:rPr/>
      </w:pPr>
      <w:r>
        <w:rPr>
          <w:rFonts w:ascii="Times New Roman;serif" w:hAnsi="Times New Roman;serif"/>
          <w:b/>
          <w:color w:val="000000"/>
          <w:sz w:val="22"/>
        </w:rPr>
        <w:t>Vesting Date</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Number of RSUs</w:t>
      </w:r>
      <w:r>
        <w:rPr>
          <w:rFonts w:ascii="Times New Roman;serif" w:hAnsi="Times New Roman;serif"/>
          <w:b w:val="false"/>
          <w:color w:val="000000"/>
          <w:sz w:val="22"/>
        </w:rPr>
        <w:t>:     [#####]</w:t>
      </w:r>
    </w:p>
    <w:p>
      <w:pPr>
        <w:pStyle w:val="TextBody"/>
        <w:bidi w:val="0"/>
        <w:spacing w:lineRule="auto" w:line="288" w:before="0" w:after="240"/>
        <w:ind w:left="0" w:right="0" w:hanging="3600"/>
        <w:jc w:val="both"/>
        <w:rPr/>
      </w:pPr>
      <w:r>
        <w:rPr>
          <w:rFonts w:ascii="Times New Roman;serif" w:hAnsi="Times New Roman;serif"/>
          <w:b/>
          <w:color w:val="000000"/>
          <w:sz w:val="22"/>
        </w:rPr>
        <w:t>Vesting Schedule</w:t>
      </w:r>
      <w:r>
        <w:rPr>
          <w:rFonts w:ascii="Times New Roman;serif" w:hAnsi="Times New Roman;serif"/>
          <w:b w:val="false"/>
          <w:color w:val="000000"/>
          <w:sz w:val="22"/>
        </w:rPr>
        <w:t>:    Provided that the Participant has not undergone a Termination at the time of the applicable vesting date, 100% of the RSUs will vest on the Vesting Date set forth above.</w:t>
      </w:r>
    </w:p>
    <w:p>
      <w:pPr>
        <w:pStyle w:val="TextBody"/>
        <w:bidi w:val="0"/>
        <w:spacing w:lineRule="auto" w:line="288" w:before="0" w:after="240"/>
        <w:ind w:left="0" w:right="0" w:hanging="3600"/>
        <w:jc w:val="both"/>
        <w:rPr/>
      </w:pPr>
      <w:r>
        <w:rPr>
          <w:rFonts w:ascii="Times New Roman;serif" w:hAnsi="Times New Roman;serif"/>
          <w:b/>
          <w:color w:val="000000"/>
          <w:sz w:val="22"/>
        </w:rPr>
        <w:t>Settlement</w:t>
      </w:r>
      <w:r>
        <w:rPr>
          <w:rFonts w:ascii="Times New Roman;serif" w:hAnsi="Times New Roman;serif"/>
          <w:b w:val="false"/>
          <w:color w:val="000000"/>
          <w:sz w:val="22"/>
        </w:rPr>
        <w:t>:    Any RSUs that become vested pursuant to the Vesting Schedule will be settled in accordance with Section 3 of the RSU Agreement.</w:t>
      </w:r>
    </w:p>
    <w:p>
      <w:pPr>
        <w:pStyle w:val="TextBody"/>
        <w:bidi w:val="0"/>
        <w:spacing w:before="0" w:after="0"/>
        <w:jc w:val="left"/>
        <w:rPr/>
      </w:pPr>
      <w:r>
        <w:rPr/>
      </w:r>
    </w:p>
    <w:p>
      <w:pPr>
        <w:pStyle w:val="TextBody"/>
        <w:bidi w:val="0"/>
        <w:spacing w:before="0" w:after="240"/>
        <w:ind w:left="0" w:right="0" w:hanging="3600"/>
        <w:jc w:val="both"/>
        <w:rPr/>
      </w:pPr>
      <w:r>
        <w:rPr/>
      </w:r>
    </w:p>
    <w:p>
      <w:pPr>
        <w:pStyle w:val="TextBody"/>
        <w:bidi w:val="0"/>
        <w:spacing w:lineRule="auto" w:line="288" w:before="0" w:after="240"/>
        <w:ind w:left="0" w:right="0" w:hanging="3600"/>
        <w:jc w:val="left"/>
        <w:rPr>
          <w:color w:val="000000"/>
        </w:rPr>
      </w:pPr>
      <w:r>
        <w:rPr>
          <w:color w:val="000000"/>
        </w:rPr>
        <w:t>    </w:t>
      </w: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Director RSU Award Agreement – Initial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Director RSU Award Agreement – Initial</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THE UNDERSIGNED PARTICIPANT ACKNOWLEDGES RECEIPT OF THIS RSU GRANT NOTICE, THE RSU AGREEMENT AND THE PLAN, AND, AS AN EXPRESS CONDITION TO THE GRANT OF RSUS HEREUNDER, AGREES TO BE BOUND BY THE TERMS OF THIS RSU GRANT NOTICE, THE RSU AGREEMENT AND THE PLAN.</w:t>
      </w:r>
      <w:r>
        <w:rPr>
          <w:color w:val="000000"/>
          <w:u w:val="single"/>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MEDLINE INC.                PARTICIPANT</w:t>
      </w:r>
    </w:p>
    <w:p>
      <w:pPr>
        <w:pStyle w:val="TextBody"/>
        <w:bidi w:val="0"/>
        <w:spacing w:before="0" w:after="240"/>
        <w:jc w:val="left"/>
        <w:rPr/>
      </w:pPr>
      <w:r>
        <w:rPr/>
      </w:r>
    </w:p>
    <w:p>
      <w:pPr>
        <w:pStyle w:val="TextBody"/>
        <w:bidi w:val="0"/>
        <w:spacing w:lineRule="auto" w:line="288" w:before="0" w:after="240"/>
        <w:jc w:val="left"/>
        <w:rPr/>
      </w:pPr>
      <w:r>
        <w:rPr>
          <w:color w:val="000000"/>
          <w:u w:val="single"/>
        </w:rPr>
        <w:t>                    </w:t>
      </w:r>
      <w:r>
        <w:rPr>
          <w:color w:val="000000"/>
        </w:rPr>
        <w:t>    </w:t>
      </w:r>
      <w:r>
        <w:rPr>
          <w:color w:val="000000"/>
          <w:u w:val="single"/>
        </w:rPr>
        <w:t xml:space="preserve"> </w:t>
      </w:r>
      <w:r>
        <w:rPr>
          <w:rFonts w:ascii="Times New Roman;serif" w:hAnsi="Times New Roman;serif"/>
          <w:b w:val="false"/>
          <w:color w:val="000000"/>
          <w:sz w:val="22"/>
          <w:u w:val="single"/>
        </w:rPr>
        <w:t>#Signature#                        </w:t>
      </w:r>
      <w:r>
        <w:rPr>
          <w:rFonts w:ascii="Times New Roman;serif" w:hAnsi="Times New Roman;serif"/>
          <w:b w:val="false"/>
          <w:color w:val="000000"/>
          <w:sz w:val="22"/>
        </w:rPr>
        <w:br/>
        <w:t>By: Christopher Shryock             Name</w:t>
        <w:br/>
        <w:t xml:space="preserve">Title: </w:t>
      </w:r>
      <w:r>
        <w:rPr>
          <w:rFonts w:ascii="Times New Roman;serif" w:hAnsi="Times New Roman;serif"/>
          <w:b w:val="false"/>
          <w:i/>
          <w:color w:val="000000"/>
          <w:sz w:val="22"/>
        </w:rPr>
        <w:t>EVP, Chief Human Resources Officer</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77" name="Frame1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firstLine="4680"/>
                              <w:jc w:val="left"/>
                              <w:rPr>
                                <w:color w:val="000000"/>
                              </w:rPr>
                            </w:pPr>
                            <w:r>
                              <w:rPr>
                                <w:color w:val="000000"/>
                              </w:rPr>
                              <w:t>        </w:t>
                            </w: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680"/>
                        <w:jc w:val="left"/>
                        <w:rPr>
                          <w:color w:val="000000"/>
                        </w:rPr>
                      </w:pPr>
                      <w:r>
                        <w:rPr>
                          <w:color w:val="000000"/>
                        </w:rPr>
                        <w:t>        </w:t>
                      </w: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RSU AGREEMENT</w:t>
        <w:br/>
        <w:t>UNDER THE</w:t>
        <w:br/>
        <w:t>MEDLINE INC.</w:t>
        <w:br/>
        <w:t>2025 OMNIBUS INCENTIVE PLAN</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Pursuant to the RSU Grant Notice (the “</w:t>
      </w:r>
      <w:r>
        <w:rPr>
          <w:rFonts w:ascii="Times New Roman;serif" w:hAnsi="Times New Roman;serif"/>
          <w:b w:val="false"/>
          <w:color w:val="000000"/>
          <w:sz w:val="22"/>
          <w:u w:val="single"/>
        </w:rPr>
        <w:t>RSU Grant Notice</w:t>
      </w:r>
      <w:r>
        <w:rPr>
          <w:color w:val="000000"/>
        </w:rPr>
        <w:t>”</w:t>
      </w:r>
      <w:r>
        <w:rPr>
          <w:rFonts w:ascii="Times New Roman;serif" w:hAnsi="Times New Roman;serif"/>
          <w:b w:val="false"/>
          <w:color w:val="000000"/>
          <w:sz w:val="22"/>
        </w:rPr>
        <w:t>) delivered to the Participant (as defined in the RSU Grant Notice), and subject to the terms of this RSU Agreement and the Medline Inc. 2025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Medline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Grant of RSUs</w:t>
      </w:r>
      <w:r>
        <w:rPr>
          <w:rFonts w:ascii="Times New Roman;serif" w:hAnsi="Times New Roman;serif"/>
          <w:b w:val="false"/>
          <w:color w:val="000000"/>
          <w:sz w:val="22"/>
        </w:rPr>
        <w:t xml:space="preserve">. Subject to the terms and conditions set forth herein and in the Plan, the Company hereby grants to the Participant the number of RSUs provided in the RSU Grant Notice (with each RSU representing the right to receive one share of Common Stock upon the vesting of such RSU). The Company may make one or more additional grants of RSUs to the Participant under this RSU Agreement by providing the Participant with a new RSU Grant Notice, which may also include any terms and conditions differing from this RSU Agreement to the extent provided therein. The Company reserves all rights with respect to the granting of additional RSUs hereunder and makes no implied promise to grant additional RSUs. </w:t>
      </w:r>
    </w:p>
    <w:p>
      <w:pPr>
        <w:pStyle w:val="TextBody"/>
        <w:bidi w:val="0"/>
        <w:spacing w:lineRule="auto" w:line="240" w:before="0" w:after="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Vesting</w:t>
      </w:r>
      <w:r>
        <w:rPr>
          <w:rFonts w:ascii="Times New Roman;serif" w:hAnsi="Times New Roman;serif"/>
          <w:b w:val="false"/>
          <w:color w:val="000000"/>
          <w:sz w:val="22"/>
        </w:rPr>
        <w:t>. Subject to the terms and conditions contained herein and in the Plan, the RSUs shall vest and the restrictions on the RSUs shall lapse as set forth in the RSU Grant Notice. With respect to any RSU, the period of time that such RSU remains subject to vesting shall be its “Restricted Period.”</w:t>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 xml:space="preserve">Settlement of RSUs </w:t>
      </w:r>
      <w:r>
        <w:rPr>
          <w:rFonts w:ascii="Times New Roman;serif" w:hAnsi="Times New Roman;serif"/>
          <w:b w:val="false"/>
          <w:color w:val="000000"/>
          <w:sz w:val="22"/>
        </w:rPr>
        <w:t xml:space="preserve">. Subject to the provision in Section 9(d)(ii) of the Plan, within 75 days following the date on which the Restricted Period lapses with respect to an RSU, the Company shall issue to the Participant or the Participant’s beneficiary, without charge, one share of Common Stock (or other securities or other property, as applicable) for each such RSU. </w:t>
      </w:r>
    </w:p>
    <w:p>
      <w:pPr>
        <w:pStyle w:val="TextBody"/>
        <w:bidi w:val="0"/>
        <w:spacing w:lineRule="auto" w:line="240" w:before="0" w:after="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Treatment of RSUs Upon Termination or Restrictive Covenant Violation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Unless otherwise determined by the Committee, in the event of the Participant’s Termination for any reason:</w:t>
      </w:r>
    </w:p>
    <w:p>
      <w:pPr>
        <w:pStyle w:val="TextBody"/>
        <w:bidi w:val="0"/>
        <w:spacing w:lineRule="auto" w:line="240"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all vesting with respect to the RSUs shall cease (after taking into account vesting of RSUs as set forth in the RSU Grant Notice); and</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the unvested RSUs shall be forfeited to the Company by the Participant for no consideration as of the date of such Termination.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In the event of (i) the Participant’s Termination by the Company for Cause, (ii) the Participant’s voluntary resignation when grounds for Cause exist or (iii) a Restrictive Covenant Violation (as defined below), unvested RSUs and all vested RSUs that have not been settled in shares of Common Stock pursuant to Section 3 of this RSU Agreement shall be forfeited to the Company by the Participant for no consideration as of the date of such Termination.</w:t>
      </w:r>
    </w:p>
    <w:p>
      <w:pPr>
        <w:pStyle w:val="TextBody"/>
        <w:bidi w:val="0"/>
        <w:spacing w:lineRule="auto" w:line="240" w:before="0" w:after="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Company; Participant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term “Company” as used in this RSU Agreement with reference to employment or service shall include the Board, the Company and its Subsidiaries. </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Whenever the word “Participant” is used in any provision of this RSU Agreement under circumstances where the provision should logically be construed to apply to the executors, the administrators, or the person or persons to whom the RSUs may be transferred by will or by the laws of descent and distribution, the word “Participant” shall be deemed to include such person or persons. </w:t>
      </w:r>
    </w:p>
    <w:p>
      <w:pPr>
        <w:pStyle w:val="TextBody"/>
        <w:bidi w:val="0"/>
        <w:spacing w:lineRule="auto" w:line="24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Non-Transferability</w:t>
      </w:r>
      <w:r>
        <w:rPr>
          <w:rFonts w:ascii="Times New Roman;serif" w:hAnsi="Times New Roman;serif"/>
          <w:b w:val="false"/>
          <w:color w:val="000000"/>
          <w:sz w:val="22"/>
        </w:rPr>
        <w:t xml:space="preserve">. The RSUs are not transferable by the Participant except to Permitted Transferees in accordance with Section 14(b) of the Plan. Except as otherwise provided herein, no assignment or transfer of the RSUs, or of the rights represented thereby, whether voluntary or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78"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firstLine="4680"/>
                              <w:jc w:val="left"/>
                              <w:rPr>
                                <w:color w:val="000000"/>
                              </w:rPr>
                            </w:pPr>
                            <w:r>
                              <w:rPr>
                                <w:color w:val="000000"/>
                              </w:rPr>
                              <w:t>        </w:t>
                            </w: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680"/>
                        <w:jc w:val="left"/>
                        <w:rPr>
                          <w:color w:val="000000"/>
                        </w:rPr>
                      </w:pPr>
                      <w:r>
                        <w:rPr>
                          <w:color w:val="000000"/>
                        </w:rPr>
                        <w:t>        </w:t>
                      </w: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involuntary, by operation of law or otherwise, shall vest in the assignee or transferee any interest or right herein whatsoever, but immediately upon such assignment or transfer the RSUs shall terminate and become of no further effect. </w:t>
      </w:r>
    </w:p>
    <w:p>
      <w:pPr>
        <w:pStyle w:val="TextBody"/>
        <w:bidi w:val="0"/>
        <w:spacing w:lineRule="auto" w:line="240"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The Participant or a Permitted Transferee of the RSUs shall have no rights as a stockholder with respect to any share of Common Stock underlying a RSU unless and until the Participant shall have become the holder of record or the beneficial owner of such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40" w:before="0" w:after="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Dividend Equivalents</w:t>
      </w:r>
      <w:r>
        <w:rPr>
          <w:rFonts w:ascii="Times New Roman;serif" w:hAnsi="Times New Roman;serif"/>
          <w:b w:val="false"/>
          <w:color w:val="000000"/>
          <w:sz w:val="22"/>
        </w:rPr>
        <w:t xml:space="preserve">. The RSUs shall be entitled to be credited with dividend equivalent payments (upon the payment by the Company of dividends on shares of Common Stock), which shall accrue in cash without interest and shall be delivered in cash. Accumulated dividend equivalents shall be payable at such time as the underlying RSUs to which such dividend equivalents relate are settled in accordance with Section 3 of this RSU Agreement. For the avoidance of doubt, dividend equivalents accrued in respect of RSUs shall only be paid to the extent the underlying RSU vests and is settled. To the extent that any RSUs are forfeited and not vested and settled, the Participant shall have no right to dividend equivalent payments in respect of such forfeited and unvested RSUs. </w:t>
      </w:r>
    </w:p>
    <w:p>
      <w:pPr>
        <w:pStyle w:val="TextBody"/>
        <w:bidi w:val="0"/>
        <w:spacing w:lineRule="auto" w:line="240" w:before="0" w:after="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The provisions of Section 14(d) of the Plan are incorporated herein by reference and made a part hereof. The Participant acknowledges and agrees that to the extent consistent with applicable law and the Participant’s status as an independent consultant for U.S. federal income tax purposes, the Company does not intend to withhold any amounts as federal income tax withholdings under any other state or federal laws, and the Participant hereby agrees to make adequate provision for any sums required to satisfy all applicable federal, state, local and foreign tax withholding obligations of the Company which may arise in connection with the grant of RSUs.</w:t>
      </w:r>
    </w:p>
    <w:p>
      <w:pPr>
        <w:pStyle w:val="TextBody"/>
        <w:bidi w:val="0"/>
        <w:spacing w:lineRule="auto" w:line="240" w:before="0" w:after="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Notice</w:t>
      </w:r>
      <w:r>
        <w:rPr>
          <w:rFonts w:ascii="Times New Roman;serif" w:hAnsi="Times New Roman;serif"/>
          <w:b w:val="false"/>
          <w:color w:val="000000"/>
          <w:sz w:val="22"/>
        </w:rPr>
        <w:t xml:space="preserve">. Every notice or other communication relating to this RSU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Corporate Secretary, and all notices or communications by the Company to the Participant may be given to the Participant personally or may be mailed to the Participant at the Participant’s last known address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0"/>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 Right to Continued Service</w:t>
      </w:r>
      <w:r>
        <w:rPr>
          <w:rFonts w:ascii="Times New Roman;serif" w:hAnsi="Times New Roman;serif"/>
          <w:b w:val="false"/>
          <w:color w:val="000000"/>
          <w:sz w:val="22"/>
        </w:rPr>
        <w:t xml:space="preserve">. This RSU Agreement does not confer upon the Participant any right to continue as a director or other service provider to the Company. </w:t>
      </w:r>
    </w:p>
    <w:p>
      <w:pPr>
        <w:pStyle w:val="TextBody"/>
        <w:bidi w:val="0"/>
        <w:spacing w:lineRule="auto" w:line="240" w:before="0" w:after="0"/>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RSU Agreement shall be binding upon the heirs, executors, administrators and successors of the parties hereto.</w:t>
      </w:r>
    </w:p>
    <w:p>
      <w:pPr>
        <w:pStyle w:val="TextBody"/>
        <w:bidi w:val="0"/>
        <w:spacing w:lineRule="auto" w:line="240"/>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Restrictive Covenants</w:t>
      </w:r>
      <w:r>
        <w:rPr>
          <w:rFonts w:ascii="Times New Roman;serif" w:hAnsi="Times New Roman;serif"/>
          <w:b w:val="false"/>
          <w:color w:val="000000"/>
          <w:sz w:val="22"/>
        </w:rPr>
        <w:t>. The Participant acknowledges and recognizes the highly competitive nature of the businesses of the Company and its Affiliates and accordingly reaffirms and agrees to, in consideration of the receipt of RSUs hereunder, in the Participant’s capacity as an equity award holder of the Company and its Affiliates, the restrictive covenants set forth on Appendix A hereto (the “</w:t>
      </w:r>
      <w:r>
        <w:rPr>
          <w:rFonts w:ascii="Times New Roman;serif" w:hAnsi="Times New Roman;serif"/>
          <w:b w:val="false"/>
          <w:color w:val="000000"/>
          <w:sz w:val="22"/>
          <w:u w:val="single"/>
        </w:rPr>
        <w:t>Restrictive Covenants</w:t>
      </w:r>
      <w:r>
        <w:rPr>
          <w:color w:val="000000"/>
        </w:rPr>
        <w:t xml:space="preserve">” </w:t>
      </w:r>
      <w:r>
        <w:rPr>
          <w:rFonts w:ascii="Times New Roman;serif" w:hAnsi="Times New Roman;serif"/>
          <w:b w:val="false"/>
          <w:color w:val="000000"/>
          <w:sz w:val="22"/>
        </w:rPr>
        <w:t>and such Appendix A, the “</w:t>
      </w:r>
      <w:r>
        <w:rPr>
          <w:rFonts w:ascii="Times New Roman;serif" w:hAnsi="Times New Roman;serif"/>
          <w:b w:val="false"/>
          <w:color w:val="000000"/>
          <w:sz w:val="22"/>
          <w:u w:val="single"/>
        </w:rPr>
        <w:t>Restrictive Covenant Appendix</w:t>
      </w:r>
      <w:r>
        <w:rPr>
          <w:color w:val="000000"/>
        </w:rPr>
        <w:t>”</w:t>
      </w:r>
      <w:r>
        <w:rPr>
          <w:rFonts w:ascii="Times New Roman;serif" w:hAnsi="Times New Roman;serif"/>
          <w:b w:val="false"/>
          <w:color w:val="000000"/>
          <w:sz w:val="22"/>
        </w:rPr>
        <w:t>). The Participant acknowledges and agrees that the remedies of the Company and its Affiliates at law for a breach or threatened breach of the Restrictive Covenants may be inadequate, and the Company and its Affiliates may suffer irreparable damages as a result of such breach or threatened breach by the Participant, regardless of whether the Participant then holds the RSUs. In recognition of this fact, the Participant agrees that, in the event of such a breach or threatened breach, in addition to any remedies at law, the Company and its Affiliates, without posting any bond, shall be entitled to (a) cease making any payments or providing any payment or providing any benefit otherwise required by this RSU Agreement and/or (b) obtain equitable relief in the form of specific performance, temporary restraining order, temporary or permanent injunction or any other equitable remedy which may then be available. For the avoidance of doubt, the Restrictive Covenants contained in this RSU Agreement are in addition to, and not in lieu of, any other restrictive covenants or similar covenants or agreements between the Participant and the Company or any of its Affiliates. For purposes of this RSU Agreement, “</w:t>
      </w:r>
      <w:r>
        <w:rPr>
          <w:rFonts w:ascii="Times New Roman;serif" w:hAnsi="Times New Roman;serif"/>
          <w:b w:val="false"/>
          <w:color w:val="000000"/>
          <w:sz w:val="22"/>
          <w:u w:val="single"/>
        </w:rPr>
        <w:t>Restrictive Covenant Violation</w:t>
      </w:r>
      <w:r>
        <w:rPr>
          <w:color w:val="000000"/>
        </w:rPr>
        <w:t xml:space="preserve">” </w:t>
      </w:r>
      <w:r>
        <w:rPr>
          <w:rFonts w:ascii="Times New Roman;serif" w:hAnsi="Times New Roman;serif"/>
          <w:b w:val="false"/>
          <w:color w:val="000000"/>
          <w:sz w:val="22"/>
        </w:rPr>
        <w:t>means the Participant’s breach of any of the Restrictive Covenants or any similar provision applicable to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4680"/>
                              <w:jc w:val="left"/>
                              <w:rPr>
                                <w:color w:val="000000"/>
                              </w:rPr>
                            </w:pPr>
                            <w:r>
                              <w:rPr>
                                <w:color w:val="000000"/>
                              </w:rPr>
                              <w:t>        </w:t>
                            </w: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680"/>
                        <w:jc w:val="left"/>
                        <w:rPr>
                          <w:color w:val="000000"/>
                        </w:rPr>
                      </w:pPr>
                      <w:r>
                        <w:rPr>
                          <w:color w:val="000000"/>
                        </w:rPr>
                        <w:t>        </w:t>
                      </w: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Waiver and Amendments</w:t>
      </w:r>
      <w:r>
        <w:rPr>
          <w:rFonts w:ascii="Times New Roman;serif" w:hAnsi="Times New Roman;serif"/>
          <w:b w:val="false"/>
          <w:color w:val="000000"/>
          <w:sz w:val="22"/>
        </w:rPr>
        <w:t xml:space="preserve">. Except as otherwise set forth in Section 13 of the Plan, any waiver, alteration, amendment or modification of any of the terms of this RSU Agreement shall be valid only if made in writing and signed by the parties 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40" w:before="0" w:after="0"/>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Clawback/Forfeiture</w:t>
      </w:r>
      <w:r>
        <w:rPr>
          <w:rFonts w:ascii="Times New Roman;serif" w:hAnsi="Times New Roman;serif"/>
          <w:b w:val="false"/>
          <w:color w:val="000000"/>
          <w:sz w:val="22"/>
        </w:rPr>
        <w:t>. In the event of the Participant’s Termination by the Company or its Affiliates for Cause, or if the Company discovers within one year after a Termination that grounds for a Termination for Cause existed at the time of such Termination then, in each case, the Participant shall be required, in addition to any other remedy available (on a non-exclusive basis), to pay to the Company, within 10 business days after the Company’s request to the Participant therefor, an amount equal to the aggregate after-tax proceeds (taking into account all amounts of tax that would be recoverable upon a claim of loss for payment of such proceeds in the year of repayment) that the Participant received upon the sale or other disposition of, or distributions in respect of, the RSUs issued hereunder (including any shares of Common Stock issued upon settlement of any such RSU). Any reference in this RSU Agreement to grounds existing for a Termination for Cause shall be determined without regard to any notice period, cure period, or other procedural delay or event required prior to a finding of, or Termination for, Cause.</w:t>
      </w:r>
    </w:p>
    <w:p>
      <w:pPr>
        <w:pStyle w:val="TextBody"/>
        <w:bidi w:val="0"/>
        <w:spacing w:lineRule="auto" w:line="240" w:before="0" w:after="0"/>
        <w:ind w:left="0" w:right="0" w:firstLine="144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RSU Agreement shall be construed and interpreted in accordance with the laws of the State of Delaware, without regard to the principles of conflicts of law thereof. Notwithstanding anything contained in this RSU Agreement, the RSU Grant Notice or the Plan to the contrary, if any suit or claim is instituted by the Participant or the Company relating to this RSU Agreement, the RSU Grant Notice or the Plan, the Participant hereby submits to the exclusive jurisdiction of and venue in the courts of Delaware.</w:t>
      </w:r>
    </w:p>
    <w:p>
      <w:pPr>
        <w:pStyle w:val="TextBody"/>
        <w:bidi w:val="0"/>
        <w:spacing w:lineRule="auto" w:line="240" w:before="0" w:after="0"/>
        <w:ind w:left="0" w:right="0" w:firstLine="144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 It is intended that the RSUs granted hereunder shall be exempt from Section 409A of the Code pursuant to the “short-term deferral” rule applicable to such section, as set forth in the regulations or other guidance published by the Internal Revenue Service thereunder, and shall be interpreted consistent with such intent.</w:t>
      </w:r>
    </w:p>
    <w:p>
      <w:pPr>
        <w:pStyle w:val="TextBody"/>
        <w:bidi w:val="0"/>
        <w:spacing w:lineRule="auto" w:line="240" w:before="0" w:after="0"/>
        <w:ind w:left="0" w:right="0" w:firstLine="144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RSU Agreement, the Plan shall govern and control.</w:t>
      </w:r>
    </w:p>
    <w:p>
      <w:pPr>
        <w:pStyle w:val="TextBody"/>
        <w:bidi w:val="0"/>
        <w:spacing w:lineRule="auto" w:line="240" w:before="0" w:after="0"/>
        <w:ind w:left="0" w:right="0" w:firstLine="144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The Company reserves the right to impose other requirements on the Participant’s participation in the Plan, on the RSUs and on any shares of Common Stock acquired under the Plan, to the extent that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0"/>
        <w:ind w:left="0" w:right="0" w:firstLine="144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40" w:before="0" w:after="0"/>
        <w:ind w:left="0" w:right="0" w:firstLine="144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RSU Agreement (including, without limitation, all exhibits and appendices attached hereto), the RSU Grant Notice and the Plan constitute the entire agreement of the parties hereto in respect of the subject matter contained herein and supersede all prior agreements and understandings of the parties, oral and written, with respect to such subject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4680"/>
                              <w:jc w:val="left"/>
                              <w:rPr>
                                <w:color w:val="000000"/>
                              </w:rPr>
                            </w:pPr>
                            <w:r>
                              <w:rPr>
                                <w:color w:val="000000"/>
                              </w:rPr>
                              <w:t>        </w:t>
                            </w: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680"/>
                        <w:jc w:val="left"/>
                        <w:rPr>
                          <w:color w:val="000000"/>
                        </w:rPr>
                      </w:pPr>
                      <w:r>
                        <w:rPr>
                          <w:color w:val="000000"/>
                        </w:rPr>
                        <w:t>        </w:t>
                      </w: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Appendix A</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Restrictive Covenant Appendix</w:t>
      </w:r>
    </w:p>
    <w:p>
      <w:pPr>
        <w:pStyle w:val="TextBody"/>
        <w:bidi w:val="0"/>
        <w:spacing w:lineRule="auto" w:line="288" w:before="0" w:after="240"/>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Non-Competition</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During the Participant’s service with the Company (the “</w:t>
      </w:r>
      <w:r>
        <w:rPr>
          <w:rFonts w:ascii="Times New Roman;serif" w:hAnsi="Times New Roman;serif"/>
          <w:b w:val="false"/>
          <w:color w:val="000000"/>
          <w:sz w:val="22"/>
          <w:u w:val="single"/>
        </w:rPr>
        <w:t>Service Term</w:t>
      </w:r>
      <w:r>
        <w:rPr>
          <w:color w:val="000000"/>
        </w:rPr>
        <w:t>”</w:t>
      </w:r>
      <w:r>
        <w:rPr>
          <w:rFonts w:ascii="Times New Roman;serif" w:hAnsi="Times New Roman;serif"/>
          <w:b w:val="false"/>
          <w:color w:val="000000"/>
          <w:sz w:val="22"/>
        </w:rPr>
        <w:t>) and for a period of one year following the Service Term (the “</w:t>
      </w:r>
      <w:r>
        <w:rPr>
          <w:rFonts w:ascii="Times New Roman;serif" w:hAnsi="Times New Roman;serif"/>
          <w:b w:val="false"/>
          <w:color w:val="000000"/>
          <w:sz w:val="22"/>
          <w:u w:val="single"/>
        </w:rPr>
        <w:t>Post-Service Restriction Period</w:t>
      </w:r>
      <w:r>
        <w:rPr>
          <w:color w:val="000000"/>
        </w:rPr>
        <w:t>”</w:t>
      </w:r>
      <w:r>
        <w:rPr>
          <w:rFonts w:ascii="Times New Roman;serif" w:hAnsi="Times New Roman;serif"/>
          <w:b w:val="false"/>
          <w:color w:val="000000"/>
          <w:sz w:val="22"/>
        </w:rPr>
        <w:t xml:space="preserve">), the Participant shall not, anywhere within the Restricted Territories, directly or indirectly, own, manage, operate, control, be employed by (whether as an employee, consultant or advisor) or participate in the ownership, management, operation or control of, or be connected in any manner (including, without limitation, as a creditor, lessor or otherwise) with, any Competitive Business.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For purposes hereof, the following terms shall have the following meanings;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scope of businesses and the jurisdictions within which the Participant has agreed not to compete pursuant to Section 1(a) (i) during the Service Term shall, for any challenged activity of the Participant, be determined as of the date of any such activity, and (ii) during the Post-Service Restriction Period shall, for any challenged activity of the Participant, be determined as of the last day of the Service Term. </w:t>
      </w:r>
    </w:p>
    <w:p>
      <w:pPr>
        <w:pStyle w:val="TextBody"/>
        <w:bidi w:val="0"/>
        <w:spacing w:lineRule="auto" w:line="288" w:before="0" w:after="240"/>
        <w:ind w:left="0" w:right="0" w:firstLine="2160"/>
        <w:jc w:val="both"/>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u w:val="single"/>
        </w:rPr>
        <w:t>Competitive Business</w:t>
      </w:r>
      <w:r>
        <w:rPr>
          <w:color w:val="000000"/>
        </w:rPr>
        <w:t xml:space="preserve">” </w:t>
      </w:r>
      <w:r>
        <w:rPr>
          <w:rFonts w:ascii="Times New Roman;serif" w:hAnsi="Times New Roman;serif"/>
          <w:b w:val="false"/>
          <w:color w:val="000000"/>
          <w:sz w:val="22"/>
        </w:rPr>
        <w:t>shall mean any business, activity, enterprise or venture that conducts activities or provides products or services that compete with, or are substitutes for, any product or service conducted, offered or provided by the Company (or that the Company took reasonable steps within the preceding six (6) months to conduct, offer, or provide, and of which the Participant was aware). For the avoidance of doubt, Competitive Business shall include, but is not limited to, any business of developing, manufacturing, marketing, distributing, and billing payors for medical supplies.</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w:t>
      </w:r>
      <w:r>
        <w:rPr>
          <w:color w:val="000000"/>
        </w:rPr>
        <w:t>“</w:t>
      </w:r>
      <w:r>
        <w:rPr>
          <w:rFonts w:ascii="Times New Roman;serif" w:hAnsi="Times New Roman;serif"/>
          <w:b w:val="false"/>
          <w:color w:val="000000"/>
          <w:sz w:val="22"/>
          <w:u w:val="single"/>
        </w:rPr>
        <w:t>Family Member</w:t>
      </w:r>
      <w:r>
        <w:rPr>
          <w:color w:val="000000"/>
        </w:rPr>
        <w:t xml:space="preserve">” </w:t>
      </w:r>
      <w:r>
        <w:rPr>
          <w:rFonts w:ascii="Times New Roman;serif" w:hAnsi="Times New Roman;serif"/>
          <w:b w:val="false"/>
          <w:color w:val="000000"/>
          <w:sz w:val="22"/>
        </w:rPr>
        <w:t>shall mean, with respect to any natural Person, (w) such natural Person’s spouse, parent, siblings, descendants (including adoptive relationships and stepchildren) and the spouses of each such natural persons (each, a “</w:t>
      </w:r>
      <w:r>
        <w:rPr>
          <w:rFonts w:ascii="Times New Roman;serif" w:hAnsi="Times New Roman;serif"/>
          <w:b w:val="false"/>
          <w:color w:val="000000"/>
          <w:sz w:val="22"/>
          <w:u w:val="single"/>
        </w:rPr>
        <w:t>Related Person</w:t>
      </w:r>
      <w:r>
        <w:rPr>
          <w:color w:val="000000"/>
        </w:rPr>
        <w:t>”</w:t>
      </w:r>
      <w:r>
        <w:rPr>
          <w:rFonts w:ascii="Times New Roman;serif" w:hAnsi="Times New Roman;serif"/>
          <w:b w:val="false"/>
          <w:color w:val="000000"/>
          <w:sz w:val="22"/>
        </w:rPr>
        <w:t>), (x) a trust (including but not limited to an estate planning trust) under which distributions may be made only to such natural Person or Related Person, (y) a charitable remainder trust, the income from which will be paid to such natural Person during his or her life or (z) a corporation, partnership or limited liability company, the shareholders, partners or members of which are only such natural Person and/or his or her Related Persons.</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(iii)</w:t>
      </w:r>
      <w:r>
        <w:rPr>
          <w:color w:val="000000"/>
        </w:rPr>
        <w:t>“</w:t>
      </w:r>
      <w:r>
        <w:rPr>
          <w:rFonts w:ascii="Times New Roman;serif" w:hAnsi="Times New Roman;serif"/>
          <w:b w:val="false"/>
          <w:color w:val="000000"/>
          <w:sz w:val="22"/>
          <w:u w:val="single"/>
        </w:rPr>
        <w:t>Restricted Territories</w:t>
      </w:r>
      <w:r>
        <w:rPr>
          <w:color w:val="000000"/>
        </w:rPr>
        <w:t xml:space="preserve">” </w:t>
      </w:r>
      <w:r>
        <w:rPr>
          <w:rFonts w:ascii="Times New Roman;serif" w:hAnsi="Times New Roman;serif"/>
          <w:b w:val="false"/>
          <w:color w:val="000000"/>
          <w:sz w:val="22"/>
        </w:rPr>
        <w:t xml:space="preserve">shall mean the United States or any foreign country, state, province or territory where the Company conducts its business, directly or indirectly, or has taken reasonable steps to conduct its business. The Participant acknowledges that the geographic restrictions set forth in this Section 1 are reasonable and necessary to protect the goodwill of the business conducted by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Nothing herein shall prohibit the Participant (together with the Participant’s Family Members) from being a passive owner of not more than five percent (in the aggregate) of the outstanding stock of any class of a corporation which is publicly traded so long as none of such Persons has any active participation in the business of such corporation.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Non-Solicitation; Non-Interference</w:t>
      </w:r>
      <w:r>
        <w:rPr>
          <w:rFonts w:ascii="Times New Roman;serif" w:hAnsi="Times New Roman;serif"/>
          <w:b w:val="false"/>
          <w:color w:val="000000"/>
          <w:sz w:val="22"/>
        </w:rPr>
        <w:t xml:space="preserve">. During the Service Term and the Post-Service Restriction Period, the Participant shall not, except in the furtherance of the Participant’s duties hereunder, directly or indirectly, through another Person, (a) induce or attempt to induce any individual or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60705"/>
                <wp:effectExtent l="0" t="0" r="0" b="0"/>
                <wp:wrapNone/>
                <wp:docPr id="181" name="Frame18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Appendix A - 1     </w:t>
                            </w:r>
                            <w:r>
                              <w:rPr>
                                <w:color w:val="000000"/>
                              </w:rPr>
                              <w:t xml:space="preserve">     </w:t>
                            </w:r>
                            <w:r>
                              <w:rPr>
                                <w:rFonts w:ascii="Times New Roman;serif" w:hAnsi="Times New Roman;serif"/>
                                <w:b w:val="false"/>
                                <w:color w:val="000000"/>
                                <w:sz w:val="20"/>
                              </w:rPr>
                              <w:t>Director RSU Award Agreement – Initial</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Appendix A - 1     </w:t>
                      </w:r>
                      <w:r>
                        <w:rPr>
                          <w:color w:val="000000"/>
                        </w:rPr>
                        <w:t xml:space="preserve">     </w:t>
                      </w:r>
                      <w:r>
                        <w:rPr>
                          <w:rFonts w:ascii="Times New Roman;serif" w:hAnsi="Times New Roman;serif"/>
                          <w:b w:val="false"/>
                          <w:color w:val="000000"/>
                          <w:sz w:val="20"/>
                        </w:rPr>
                        <w:t>Director RSU Award Agreement – Initial</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entity that is an employee or contractor of the Company to leave the employ of the Company, or in any way interfere with the relationship between the Company and any such employee or contractor, (b) hire or retain any such individual that was an employee of the Company at any time during the 12-month period immediately prior to the date on which such hiring or retention would take place, or (c) solicit or service any customer, supplier, licensee, licensor or other business relation of the Company with whom the Participant had business contact or about which the Participant had Confidential Information during the Service Term in order to induce or attempt to induce such Person to cease doing business with the Company, or in any way interfere with the relationship between any such customer, supplier, licensee or business relation and the Company (including by making any disparaging statements about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Nondisclosure</w:t>
      </w:r>
      <w:r>
        <w:rPr>
          <w:rFonts w:ascii="Times New Roman;serif" w:hAnsi="Times New Roman;serif"/>
          <w:b w:val="false"/>
          <w:color w:val="000000"/>
          <w:sz w:val="22"/>
        </w:rPr>
        <w:t>. During the course of the Participant’s employment and/or service with the Company, the Participant will have access to Confidential Information. For purposes of this Appendix A, “</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 xml:space="preserve">means all data, information, ideas, concepts, discoveries, trade secrets, inventions (regardless of whether patentable or reduced to practice), innovations, improvements, know-how, developments, techniques, methods, processes, treatments, drawings, sketches, specifications, designs, plans,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including, any such information relating to or concerning finances, sales, marketing, advertising, transition, promotions, pricing, personnel, customers, suppliers, vendors, raw partners and/or competitors. The Participant agrees that the Participant shall not, directly or indirectly, use, make available, sell, disclose or otherwise communicate to any person, other than in the course of the Participant’s duties hereunder and for the benefit of the Company, either during the Service Term or at any time thereafter, any Confidential Information or other confidential or proprietary information received from third parties subject to a duty on the part of the Company to maintain the confidentiality of such information, and to use such information only for certain limited purposes, in each case, which shall have been obtained by the Participant during the Service Term. The foregoing shall not apply to information that (a) was known to the public prior to its disclosure to the Participant, (b) becomes generally known to the public subsequent to disclosure to the Participant through no wrongful act of the Participant or any representative of the Participant, (c) becomes available to the Participant on a non-confidential basis from a source (other than the Company) which is not known by the Participant to be prohibited from disclosing such information to the Participant or (d) the Participant is required to disclose by applicable law, regulation or legal process (provided that the Participant provides the Company with prior notice of the contemplated disclosure and cooperates with the Company at its expense in seeking a protective order or other appropriate protection of such information). The terms and conditions of this Appendix A shall remain strictly confidential, and the Participant hereby agrees not to disclose the terms and conditions hereof to any person or entity, other than immediate family members, legal advisors, personal tax or financial advisors and, solely for the purpose of disclosing the limitations on the Participant’s conduct imposed by the provisions of this Section 3, prospective future employers, in each case, who agree to keep such information confidential. 18 U.S.C. §1833(b) provides: “an individual shall not be held criminally or civilly liable under any federal or state trade secret law for the disclosure of a trade secret that (A) is made (i) in confidence to a federal, state, or local government official, either directly or indirectly, to an attorney; and (ii) solely for the purpose of reporting or investigating a suspected violation of law; or (B) is made in a complaint or other document filed in a lawsuit or other proceeding, if such filing is made under seal.” Nothing in this Appendix A is intended to conflict with 18 U.S.C. §1833(b) or create liability for disclosures of trade secrets that are expressly allowed by 18 U.S.C. §1833(b). Accordingly, the Participant has the right to disclose in confidence trade secrets to federal, state and local government officials, or to an attorney, for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5445"/>
                <wp:effectExtent l="0" t="0" r="0" b="0"/>
                <wp:wrapNone/>
                <wp:docPr id="182" name="Frame1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2"/>
                              </w:rPr>
                              <w:t>Appendix A - Appendix A - 2     </w:t>
                            </w:r>
                            <w:r>
                              <w:rPr>
                                <w:rFonts w:ascii="Times New Roman;serif" w:hAnsi="Times New Roman;serif"/>
                                <w:b w:val="false"/>
                                <w:color w:val="000000"/>
                                <w:sz w:val="20"/>
                              </w:rPr>
                              <w:t>Director RSU Award Agreement – Initial</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2"/>
                        </w:rPr>
                        <w:t>Appendix A - Appendix A - 2     </w:t>
                      </w:r>
                      <w:r>
                        <w:rPr>
                          <w:rFonts w:ascii="Times New Roman;serif" w:hAnsi="Times New Roman;serif"/>
                          <w:b w:val="false"/>
                          <w:color w:val="000000"/>
                          <w:sz w:val="20"/>
                        </w:rPr>
                        <w:t>Director RSU Award Agreement – Initial</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sole purpose of reporting or investigating a suspected violation of law. The Participant also has the right to disclose trade secrets in a document filed in a lawsuit or other proceeding, but only if the filing is made under seal and protected from public disclosure.</w:t>
      </w:r>
    </w:p>
    <w:p>
      <w:pPr>
        <w:pStyle w:val="TextBody"/>
        <w:bidi w:val="0"/>
        <w:spacing w:lineRule="auto" w:line="288"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xml:space="preserve">. The Participant shall not, whether in writing (electronically or otherwise) or orally, malign, denigrate, or disparage the Company, or any of the Company’s predecessors or successors, or any of their respective current or former directors, officers, employees, shareholders, partners, members, agents, or representatives (in any such case, to the extent known to the Participant), with respect to any of their respective past or present business activities, or otherwise publish (whether in writing (electronically or otherwise) or orally) statements that tend to portray any of the aforementioned parties in an unfavorable light;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foregoing shall not (a) prevent the Participant from exercising the Participant’s rights, if any, under the National Labor Relations Act or (b) apply to statements made by the Participant in good faith for the purposes of enforcing any of the Participant’s rights under this Appendix A or under any other agreement now or hereafter in effect, responding to incorrect public statements, defending against or bringing any claim or claims against or by the Participant, including any arbitral or administrative proceedings, so long as such statements are made in connection with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dispute brought or pending before a court, administrative body or arbitration panel and the Participant has a good faith basis for believing that the statements are true, when required to do so by law, subpoena or court order and/or when responding to any inquiry by any regulatory or investigatory organization.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Inventions</w:t>
      </w:r>
      <w:r>
        <w:rPr>
          <w:rFonts w:ascii="Times New Roman;serif" w:hAnsi="Times New Roman;serif"/>
          <w:b w:val="false"/>
          <w:color w:val="000000"/>
          <w:sz w:val="22"/>
        </w:rPr>
        <w:t>. The Participant acknowledges that all inventions, innovations, improvements, developments, methods, designs, analyses, drawings, reports and all similar or related information (whether or not patentable) which relate to the actual or reasonably anticipated business, research and development or existing or future products or services of the Company and which are conceived, developed or made by the Participant while employed by the Company, whether before or after the date of this Appendix A (“</w:t>
      </w:r>
      <w:r>
        <w:rPr>
          <w:rFonts w:ascii="Times New Roman;serif" w:hAnsi="Times New Roman;serif"/>
          <w:b w:val="false"/>
          <w:color w:val="000000"/>
          <w:sz w:val="22"/>
          <w:u w:val="single"/>
        </w:rPr>
        <w:t>Work Product</w:t>
      </w:r>
      <w:r>
        <w:rPr>
          <w:color w:val="000000"/>
        </w:rPr>
        <w:t>”</w:t>
      </w:r>
      <w:r>
        <w:rPr>
          <w:rFonts w:ascii="Times New Roman;serif" w:hAnsi="Times New Roman;serif"/>
          <w:b w:val="false"/>
          <w:color w:val="000000"/>
          <w:sz w:val="22"/>
        </w:rPr>
        <w:t xml:space="preserve">), belong to the Company. The Participant shall promptly disclose such Work Product to the Company and, at the Company’s expense, perform all actions reasonably requested by the Company (whether during or after the Service Term) to establish and confirm such ownership (including executing any assignments, consents, powers of attorney and other instruments). Any copyrightable Work Product prepared in whole or in part by the Participant in the course of the Participant’s employment by the Company will be deemed “a work made for hire” under Section 201(b) of the 1976 Copyright Act, and the Company shall own all of the rights comprised in the copyright therein. The Participant hereby assigns all right, title and interest in and to all Work Product to the Company. Without limiting the generality of the foregoing, the Participant agrees to assist the Company, at the Company’s expense, in every proper way to secure the rights of the Company in the Work Product in any and all countries, including the execution of all applications, specifications, oaths, assignments and all other instruments necessary in order to apply for and obtain rights in such Work Product and in order to assign and convey to the Company and the Company’s successors, assigns and nominees the sole and exclusive right, title and interest in and to such Work Product. The Participant further agrees that the Participant’s obligation to execute or cause to be executed, when it is in the Participant’s power to do so, any such instrument or papers shall continue after the termination of the Participant’s Service Term. If the Company is unable because of the Participant’s mental or physical incapacity or for any other reason (including the Participant’s refusal to do so after request therefor is made by the Company in writing) to secure the Participant’s signature to apply for or to pursue any application for any United States or foreign patent, trademark or copyright registrations covering Work Product assigned to the Company pursuant to this Section 5, then the Participant hereby irrevocably designates and appoints the Company and its duly authorized officers and agents as agent and attorney-in-fact to act for and in the Participant’s behalf and stead to execute and file any such applications and to do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85445"/>
                <wp:effectExtent l="0" t="0" r="0" b="0"/>
                <wp:wrapNone/>
                <wp:docPr id="183" name="Frame1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2"/>
                              </w:rPr>
                              <w:t>Appendix A - Appendix A - 3     </w:t>
                            </w:r>
                            <w:r>
                              <w:rPr>
                                <w:rFonts w:ascii="Times New Roman;serif" w:hAnsi="Times New Roman;serif"/>
                                <w:b w:val="false"/>
                                <w:color w:val="000000"/>
                                <w:sz w:val="20"/>
                              </w:rPr>
                              <w:t>Director RSU Award Agreement – Initial</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2"/>
                        </w:rPr>
                        <w:t>Appendix A - Appendix A - 3     </w:t>
                      </w:r>
                      <w:r>
                        <w:rPr>
                          <w:rFonts w:ascii="Times New Roman;serif" w:hAnsi="Times New Roman;serif"/>
                          <w:b w:val="false"/>
                          <w:color w:val="000000"/>
                          <w:sz w:val="20"/>
                        </w:rPr>
                        <w:t>Director RSU Award Agreement – Initial</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other lawfully permitted acts to further the prosecution and issuance of patent, trademark or copyright registrations thereon with the same legal force and effect as if executed by the Participant. The Participant agrees not to apply for or pursue any application for any United States or foreign patent, trademark or copyright registrations covering any Work Product other than pursuant to this Section 5 in circumstances where such patent, trademark or copyright registrations are or have been assigned to the Company. Any written records of Work Product made by the Participant (solely or jointly with others) during the term of the Participant’s employment with the Company shall be available to, and remain the sole property of, the Company at all times.</w:t>
      </w:r>
    </w:p>
    <w:p>
      <w:pPr>
        <w:pStyle w:val="TextBody"/>
        <w:bidi w:val="0"/>
        <w:spacing w:lineRule="auto" w:line="288"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Scope and Enforcement of Covenants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Participant acknowledges that the provisions of this Appendix A</w:t>
      </w:r>
      <w:r>
        <w:rPr>
          <w:color w:val="000000"/>
        </w:rPr>
        <w:t xml:space="preserve"> </w:t>
      </w:r>
      <w:r>
        <w:rPr>
          <w:rFonts w:ascii="Times New Roman;serif" w:hAnsi="Times New Roman;serif"/>
          <w:b w:val="false"/>
          <w:color w:val="000000"/>
          <w:sz w:val="22"/>
        </w:rPr>
        <w:t>are in consideration of: (i) the grant of this Award (as defined in the Plan) and (ii) additional good and valuable consideration as set forth in the Award Agreement (as defined in the Plan) to which this Appendix A is attached. In addition, the Participant agrees and acknowledges that the restrictions contained in Section 1 and 2</w:t>
      </w:r>
      <w:r>
        <w:rPr>
          <w:color w:val="000000"/>
        </w:rPr>
        <w:t xml:space="preserve"> </w:t>
      </w:r>
      <w:r>
        <w:rPr>
          <w:rFonts w:ascii="Times New Roman;serif" w:hAnsi="Times New Roman;serif"/>
          <w:b w:val="false"/>
          <w:color w:val="000000"/>
          <w:sz w:val="22"/>
        </w:rPr>
        <w:t>do not preclude the Participant from earning a livelihood, nor do they unreasonably impose limitations on the Participant’s ability to earn a living. In addition, the Participant agrees and acknowledges that the potential harm to the Company of the non-enforcement of this Appendix A</w:t>
      </w:r>
      <w:r>
        <w:rPr>
          <w:color w:val="000000"/>
        </w:rPr>
        <w:t xml:space="preserve"> </w:t>
      </w:r>
      <w:r>
        <w:rPr>
          <w:rFonts w:ascii="Times New Roman;serif" w:hAnsi="Times New Roman;serif"/>
          <w:b w:val="false"/>
          <w:color w:val="000000"/>
          <w:sz w:val="22"/>
        </w:rPr>
        <w:t>outweighs any potential harm to the Participant of their enforcement by injunction or otherwise. The Participant acknowledges that the Participant has carefully read this Appendix A and has given careful consideration to the restraints imposed upon the Participant by this Appendix A, and is in full accord as to their necessity for the reasonable and proper protection of confidential and proprietary information of the Company now existing or to be developed in the future. The Participant expressly acknowledges and agrees that each and every restraint imposed by this Appendix A is reasonable with respect to subject matter and time period. It is specifically recognized by the Participant that his or her services to the Company are special, unique, and of extraordinary value, that the Company has a protectable interest in the obligations imposed on the Participant as provided in this Appendix A and that money damages are insufficient to protect such interest, that there is adequate consideration being provided to the Participant hereunder, that such prohibitions would be necessary and appropriate without regard to payments being made to the Participant hereunder, and that the Company would not enter into this Award Agreement with the Participant without the restrictions in this Appendix A. The Participant further acknowledges that the provisions of this Appendix A are separate and independent of the other sections of this Award Agreement. In the event that the agreements in this Appendix A shall be determined by any court of competent jurisdiction to be unenforceable by reason of their extending for too great a period of time or over too great a geographical area or by reason of their being too extensive in any other respect, they shall be interpreted to extend only over the maximum period of time for which they may be enforceable and/or over the maximum geographical area as to which they may be enforceable and/or to the maximum extent in all other respects as to which they may be enforceable, all as determined by such court in such action. The period of time during which the provisions of Sections 1 and 2 shall be in effect shall be extended by the length of time during which the Participant is in breach of the terms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anything to the contrary herein, the Participant acknowledges and agrees that (i) the Company may amend any provision of this Appendix A as it may deem in its discretion to be necessary or advisable to conform such provision to the requirements of, or increase the enforceability of such provision under, applicable law, and no such amendment shall require the consent of the Participant so long as such amendment does not impose a greater restraint on the Participant than is imposed by such provision as in effect prior to such amendment, and (ii) the Company may, in its discretion, elect to provide additional consideration to the Participant as the Company may deem necessary or advisable to conform any provision of this Appendix A to the requirements of, or increase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84"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2"/>
                              </w:rPr>
                              <w:t>Appendix A - Appendix A - 4     </w:t>
                            </w:r>
                            <w:r>
                              <w:rPr>
                                <w:rFonts w:ascii="Times New Roman;serif" w:hAnsi="Times New Roman;serif"/>
                                <w:b w:val="false"/>
                                <w:color w:val="000000"/>
                                <w:sz w:val="20"/>
                              </w:rPr>
                              <w:t>Director RSU Award Agreement – Initial</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2"/>
                        </w:rPr>
                        <w:t>Appendix A - Appendix A - 4     </w:t>
                      </w:r>
                      <w:r>
                        <w:rPr>
                          <w:rFonts w:ascii="Times New Roman;serif" w:hAnsi="Times New Roman;serif"/>
                          <w:b w:val="false"/>
                          <w:color w:val="000000"/>
                          <w:sz w:val="20"/>
                        </w:rPr>
                        <w:t>Director RSU Award Agreement – Initial</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 enforceability of such provision under, applicable law;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each case of (i) and (ii), the Company shall provide prompt written notice thereof to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rPr>
        <w:t>If the Participant primarily resides and/or primarily provides service in one of the jurisdictions included in Annex 1 hereto, to the extent required by applicable law, the provisions contained therein shall govern and control with respect to this Appendix A. The Participant (i) is advised to consult with an attorney regarding the terms and conditions of this Appendix A (including the supplemental restrictive covenants terms within Annex 1 hereto) before signing it and (ii) acknowledges the receipt of such Company advice and has had the opportunity to seek counsel. The Participant acknowledges and agrees that Company may issue updates to Annex 1 from time to time (including the addition of states) to either narrow the scope of a particular restriction or to comply with applicable law, and the Participant hereby consents to any such updates. In the event that the Participant is not subject to any provision in this Appendix A as of the effective date of this Award Agreement because of an applicable salary or other compensation or duties-based threshold, if at any time during the Participant’s service period the Participant becomes eligible for such provision, except where prohibited by applicable law, such provision shall apply to the Participant from the date of such eligibility.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Independent Obligations</w:t>
      </w:r>
      <w:r>
        <w:rPr>
          <w:rFonts w:ascii="Times New Roman;serif" w:hAnsi="Times New Roman;serif"/>
          <w:b w:val="false"/>
          <w:color w:val="000000"/>
          <w:sz w:val="22"/>
        </w:rPr>
        <w:t>. The provisions of this Appendix A (including Annex 1 hereto) are intended to be cumulative and are intended to be independent obligations of the Participant, and shall not be affected by any similar provisions contained in any other agreement entered into by the Participant and the Company or any policy adopted by the Company applicable to its directors generally.</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85"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2"/>
                              </w:rPr>
                              <w:t>Appendix A - Appendix A - 5     </w:t>
                            </w:r>
                            <w:r>
                              <w:rPr>
                                <w:rFonts w:ascii="Times New Roman;serif" w:hAnsi="Times New Roman;serif"/>
                                <w:b w:val="false"/>
                                <w:color w:val="000000"/>
                                <w:sz w:val="20"/>
                              </w:rPr>
                              <w:t>Director RSU Award Agreement – Initial</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2"/>
                        </w:rPr>
                        <w:t>Appendix A - Appendix A - 5     </w:t>
                      </w:r>
                      <w:r>
                        <w:rPr>
                          <w:rFonts w:ascii="Times New Roman;serif" w:hAnsi="Times New Roman;serif"/>
                          <w:b w:val="false"/>
                          <w:color w:val="000000"/>
                          <w:sz w:val="20"/>
                        </w:rPr>
                        <w:t>Director RSU Award Agreement – Initial</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86" name="Frame1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2"/>
                              </w:rPr>
                              <w:t>Appendix A - Appendix A - 6     </w:t>
                            </w:r>
                            <w:r>
                              <w:rPr>
                                <w:rFonts w:ascii="Times New Roman;serif" w:hAnsi="Times New Roman;serif"/>
                                <w:b w:val="false"/>
                                <w:color w:val="000000"/>
                                <w:sz w:val="20"/>
                              </w:rPr>
                              <w:t>Director RSU Award Agreement – Initial</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2"/>
                        </w:rPr>
                        <w:t>Appendix A - Appendix A - 6     </w:t>
                      </w:r>
                      <w:r>
                        <w:rPr>
                          <w:rFonts w:ascii="Times New Roman;serif" w:hAnsi="Times New Roman;serif"/>
                          <w:b w:val="false"/>
                          <w:color w:val="000000"/>
                          <w:sz w:val="20"/>
                        </w:rPr>
                        <w:t>Director RSU Award Agreement – Initial</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1 to APPENDIX A</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State Restrictive Covenant Supplement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Capitalized terms used but not defined herein shall have the meanings set forth in the Plan and the RSU Agreement. </w:t>
      </w:r>
    </w:p>
    <w:tbl>
      <w:tblPr>
        <w:tblW w:w="10205" w:type="dxa"/>
        <w:jc w:val="left"/>
        <w:tblInd w:w="0" w:type="dxa"/>
        <w:tblLayout w:type="fixed"/>
        <w:tblCellMar>
          <w:top w:w="28" w:type="dxa"/>
          <w:left w:w="28" w:type="dxa"/>
          <w:bottom w:w="28" w:type="dxa"/>
          <w:right w:w="28" w:type="dxa"/>
        </w:tblCellMar>
      </w:tblPr>
      <w:tblGrid>
        <w:gridCol w:w="4398"/>
        <w:gridCol w:w="2399"/>
        <w:gridCol w:w="3408"/>
      </w:tblGrid>
      <w:tr>
        <w:trPr/>
        <w:tc>
          <w:tcPr>
            <w:tcW w:w="4398"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FLORIDA</w:t>
            </w:r>
          </w:p>
          <w:p>
            <w:pPr>
              <w:pStyle w:val="TableContents"/>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If the Participant is primarily a resident of, or primarily provides services in, Florida on (i) the Date of Grant or (ii) the date of Termination, notwithstanding anything in the Award Agreement to the contrary, the Award Agreement shall be governed by Florida law, without regard to principles of conflicts of law.</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ILLINOIS</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Participant is primarily a resident of, or primarily provides services in, Illinois on (i) the Date of Grant or (ii) the date of Termination:</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Section 1 of Appendix A shall not apply after the date of Termination unless the Participant’s actual or expected annual rate of “earnings” (as defined by Illinois law) exceeds $75,000 per year (which is the threshold amount through the end of 2026, after which this amount will increase in $5,000 increments in each of 2027, 2032, and 2037, with $90,000 as the minimum threshold amount in 2037).</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Section 2 of Appendix A shall not apply after the date of Termination unless the Participant’s actual or expected annual rate of “earnings” (as defined by Illinois law) exceeds $45,000 per year (which is the threshold amount through the end of 2026, after which this amount will increase in $2,500 increments in each of 2027, 2032, and 2037, with $52,500 as the minimum threshold amount in 2037); and</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the Participant has been provided a copy of Appendix A (including this Annex 1) at least 14 calendar days before the commencement of the employee’s services, or the employee may take up to 14 calendar days to review Appendix A (including this Annex 1) before signing the Award Agreement. In the event such notice period has not been sufficiently met, Sections 1 and 2 of Appendix A shall not be enforceable until 14 calendar days following the date the Participant was provided a copy of Appendix A (including this Annex 1). </w:t>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MASSACHUSETTS</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Participant is, and has been for at least 30 days immediately preceding the date of Termination, a resident of, or primarily providing services in, the Commonwealth of Massachusetts:</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Section 1 of Appendix A shall not apply after the date of Termination, if the Participant is terminated without Cause (as modified by this Massachusetts supplement);</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With respect to Section 1 of Appendix A, the Post-Service Restriction Period shall not exceed 12 months from the date of Termination, unless the Participant has breached his or her fiduciary duty to the Company or the Participant has unlawfully taken, physically or electronically, property belonging to the Company, in which case the Post-Service Restriction Period may not exceed 2 years from the date of Termination;</w:t>
            </w:r>
          </w:p>
          <w:p>
            <w:pPr>
              <w:pStyle w:val="TableContents"/>
              <w:bidi w:val="0"/>
              <w:spacing w:lineRule="auto" w:line="288" w:before="0" w:after="240"/>
              <w:ind w:left="0" w:right="0" w:firstLine="1440"/>
              <w:jc w:val="both"/>
              <w:rPr/>
            </w:pPr>
            <w:r>
              <w:rPr>
                <w:rFonts w:ascii="Times New Roman;serif" w:hAnsi="Times New Roman;serif"/>
                <w:b w:val="false"/>
                <w:color w:val="000000"/>
                <w:sz w:val="22"/>
              </w:rPr>
              <w:t>(c)    The Company, at its discretion, including based on a determination by the Company, in its discretion, that additional consideration is required by Massachusetts law to render Section 1 of Appendix A enforceable, may elect to enforce such covenant by making garden leave payments to the Participant during the Post-Service Restriction Period (but for no more than 12 months following the date of Termination) at a rate of up to 50% of the highest annualized base salary or service fees, as applicable, paid to the Participant by the Company within the 2-year period preceding the date of Termination (“</w:t>
            </w:r>
            <w:r>
              <w:rPr>
                <w:rFonts w:ascii="Times New Roman;serif" w:hAnsi="Times New Roman;serif"/>
                <w:b w:val="false"/>
                <w:color w:val="000000"/>
                <w:sz w:val="22"/>
                <w:u w:val="single"/>
              </w:rPr>
              <w:t>Garden Leave Payments</w:t>
            </w:r>
            <w:r>
              <w:rPr>
                <w:color w:val="000000"/>
              </w:rPr>
              <w:t>”</w:t>
            </w:r>
            <w:r>
              <w:rPr>
                <w:rFonts w:ascii="Times New Roman;serif" w:hAnsi="Times New Roman;serif"/>
                <w:b w:val="false"/>
                <w:color w:val="000000"/>
                <w:sz w:val="22"/>
              </w:rPr>
              <w:t>). Any Garden Leave Payments paid to the Participant pursuant to this Massachusetts supplement may be reduced based on consideration of the Fair Market Value of the incentive compensation provided pursuant to the Award Agreement and determined in good faith by the Company as of the date of Termination or by (or may reduce and not be in addition to) any severance or separation pay that the Participant is otherwise entitled to receive from any member of the Company pursuant to an agreement, plan, or otherwise;</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Company, in its sole discretion, may elect at any time prior to the date of Termination, or on such later date to the extent permitted by applicable law, to waive the restrictions set forth in Section 1 of Appendix A, upon which such waiver shall automatically terminate the Company’s obligations to compensate the Participant under Section (c) of this Massachusetts supplement. In such event, the Participant shall have no further obligations under Section 1 of Appendix A. Such waiver shall be in writing, and shall have no effect on the Participant’s obligations under the remainder of the restrictive covenants contained in this Annex 1, which shall continue in full force and effect in all respects. The Participant acknowledges and agrees that nothing in this Section (d) gives the Participant an election as to compliance with Section 1 of Appendix A;</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For purposes of enforcement of Section 1 of Appendix A (and no other provision of the Award Agreement or the Plan), “Cause” shall include any good faith determination by the Company that the Participant has significantly underperformed in providing services to the Company or engaged in conduct or behavior that violates any policy of the Company or is detrimental to the Company or any of its subsidiaries or affiliates or its reputation;</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Participant acknowledges and agrees that the benefits provided by the Award Agreement and the Garden Leave Payments (where applicable) constitute sufficient mutually agreed-upon consideration for Section 1 of Appendix A; and</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If the Participant is a current employee, the Participant’s agreement to the non-competition covenant in Section 1 of Appendix A shall be effective upon the later of the Participant’s (i) acceptance of the award or (ii) the date that is 10 business days after the Participant was provided with notice of the non-competition agreement. If the Participant is a prospective employee or new hire of the Company, the Participant acknowledges that the Participant was provided with a copy of the non-competition covenant in Section 1 of Appendix A by the earlier of the Participant’s (i) formal offer of employment or (ii) the date that is 10 business days before the Participant’s commencement of employment. In the event such notice period has not been sufficiently met, Section 1 of Appendix A shall not be enforceable until 10 business days following the date the Participant was provided with a copy of the non-competition covenant in Section 1 of Appendix 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26415"/>
                <wp:effectExtent l="0" t="0" r="0" b="0"/>
                <wp:wrapNone/>
                <wp:docPr id="187" name="Frame18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ind w:left="0" w:right="0" w:firstLine="3600"/>
                              <w:jc w:val="left"/>
                              <w:rPr/>
                            </w:pPr>
                            <w:r>
                              <w:rPr>
                                <w:rFonts w:ascii="Times New Roman;serif" w:hAnsi="Times New Roman;serif"/>
                                <w:b w:val="false"/>
                                <w:color w:val="000000"/>
                                <w:sz w:val="20"/>
                              </w:rPr>
                              <w:t>Annex 1 to Appendix A - 1          </w:t>
                            </w:r>
                            <w:r>
                              <w:rPr>
                                <w:rFonts w:ascii="Times New Roman;serif" w:hAnsi="Times New Roman;serif"/>
                                <w:b w:val="false"/>
                                <w:color w:val="000000"/>
                                <w:sz w:val="18"/>
                              </w:rPr>
                              <w:t>Director RSU Award Agreement – Initial</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0"/>
                        <w:jc w:val="left"/>
                        <w:rPr/>
                      </w:pPr>
                      <w:r>
                        <w:rPr>
                          <w:rFonts w:ascii="Times New Roman;serif" w:hAnsi="Times New Roman;serif"/>
                          <w:b w:val="false"/>
                          <w:color w:val="000000"/>
                          <w:sz w:val="20"/>
                        </w:rPr>
                        <w:t>Annex 1 to Appendix A - 1          </w:t>
                      </w:r>
                      <w:r>
                        <w:rPr>
                          <w:rFonts w:ascii="Times New Roman;serif" w:hAnsi="Times New Roman;serif"/>
                          <w:b w:val="false"/>
                          <w:color w:val="000000"/>
                          <w:sz w:val="18"/>
                        </w:rPr>
                        <w:t>Director RSU Award Agreement – Initial</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28"/>
        <w:gridCol w:w="2847"/>
        <w:gridCol w:w="4030"/>
      </w:tblGrid>
      <w:tr>
        <w:trPr/>
        <w:tc>
          <w:tcPr>
            <w:tcW w:w="3328"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3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NEW HAMPSHIRE</w:t>
            </w:r>
          </w:p>
          <w:p>
            <w:pPr>
              <w:pStyle w:val="TableContents"/>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the Participant is primarily a resident of, or primarily provides services in, New Hampshire on (i) the Date of Grant or (ii) the date of Termination: </w:t>
            </w:r>
          </w:p>
          <w:p>
            <w:pPr>
              <w:pStyle w:val="TableContents"/>
              <w:bidi w:val="0"/>
              <w:spacing w:lineRule="auto" w:line="288" w:before="240" w:after="240"/>
              <w:ind w:left="0" w:right="0" w:firstLine="1420"/>
              <w:jc w:val="both"/>
              <w:rPr>
                <w:rFonts w:ascii="Times New Roman;serif" w:hAnsi="Times New Roman;serif"/>
                <w:b w:val="false"/>
                <w:color w:val="000000"/>
                <w:sz w:val="22"/>
              </w:rPr>
            </w:pPr>
            <w:r>
              <w:rPr>
                <w:rFonts w:ascii="Times New Roman;serif" w:hAnsi="Times New Roman;serif"/>
                <w:b w:val="false"/>
                <w:color w:val="000000"/>
                <w:sz w:val="22"/>
              </w:rPr>
              <w:t>(a)Section 1 of Appendix A shall not apply after the date of Termination, if the Participant earns an hourly rate that is less than or equal to (i) 200% of the federal minimum wage or (ii) 200% of the tipped minimum wage pursuant to New Hampshire law; and</w:t>
            </w:r>
          </w:p>
          <w:p>
            <w:pPr>
              <w:pStyle w:val="TableContents"/>
              <w:bidi w:val="0"/>
              <w:spacing w:lineRule="auto" w:line="288" w:before="240" w:after="240"/>
              <w:ind w:left="0" w:right="0" w:firstLine="1420"/>
              <w:jc w:val="both"/>
              <w:rPr>
                <w:rFonts w:ascii="Times New Roman;serif" w:hAnsi="Times New Roman;serif"/>
                <w:b w:val="false"/>
                <w:color w:val="000000"/>
                <w:sz w:val="22"/>
              </w:rPr>
            </w:pPr>
            <w:r>
              <w:rPr>
                <w:rFonts w:ascii="Times New Roman;serif" w:hAnsi="Times New Roman;serif"/>
                <w:b w:val="false"/>
                <w:color w:val="000000"/>
                <w:sz w:val="22"/>
              </w:rPr>
              <w:t>(b)If the Participant is a prospective service provider, the Participant acknowledges and agrees that the Participant has received the noncompetition and other restrictive covenants set forth in Appendix A (as modified by this Annex 1) prior to the Participant’s acceptance of any offer of employment with the Company. In the event such notice period has not been sufficiently met, Section 1 of Appendix A shall not be enforceable until one (1) day following the Date of Grant.</w:t>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OREGON</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Participant is primarily a resident of, or primarily provides services in, Oregon on (i) the Date of Grant or (ii) the date of Termination:</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Section 1 of Appendix A shall not apply after the date of Termination, unless:</w:t>
            </w:r>
          </w:p>
          <w:p>
            <w:pPr>
              <w:pStyle w:val="TableContents"/>
              <w:bidi w:val="0"/>
              <w:spacing w:lineRule="auto" w:line="300" w:before="24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the award was granted in connection with either (A) a written employment offer that provided, at least two (2) weeks’ notice before the first day of employment, that a non-competition agreement was required or (B) the Participant’s subsequent bona fide advancement; provided that, in the event the notice period set forth in clause (A) has not been sufficiently met, Section 1 of Appendix A shall not be enforceable until two (2) weeks following the date the Participant was provided with a copy of the non-competition covenant in Section 1 of Appendix A, and </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the Participant’s total annual compensation, including commissions, as of the date of Termination, exceeds $116,427 (which is the threshold amount for 2025 and subject to annual adjustments for inflation based on adjustments to the Consumer Price Index for All Urban Consumers, West Region (All Items), as published by the Bureau of Labor Statistics of the US Department of Labor), unless the Company provides the Participant compensation during the Post-Service Restriction Period, in which Section 1 of Appendix A applies, in an amount equal to the greater of 50% of the Participant’s annual gross base salary and commissions as of the date of Termination or 50% of $116,427 (which is the threshold amount for 2025 and subject to annual adjustments pursuant to Oregon law as described in this provision) during the Post-Service Restriction Period. </w:t>
            </w:r>
          </w:p>
          <w:p>
            <w:pPr>
              <w:pStyle w:val="TableContents"/>
              <w:bidi w:val="0"/>
              <w:spacing w:lineRule="auto" w:line="288" w:before="0" w:after="240"/>
              <w:ind w:left="0" w:right="0" w:firstLine="1440"/>
              <w:jc w:val="both"/>
              <w:rPr/>
            </w:pPr>
            <w:r>
              <w:rPr>
                <w:rFonts w:ascii="Times New Roman;serif" w:hAnsi="Times New Roman;serif"/>
                <w:b w:val="false"/>
                <w:color w:val="000000"/>
                <w:sz w:val="22"/>
              </w:rPr>
              <w:t>(b)    The Company shall provide the Participant a signed copy of the Award</w:t>
            </w:r>
            <w:r>
              <w:rPr>
                <w:color w:val="000000"/>
                <w:u w:val="single"/>
              </w:rPr>
              <w:t xml:space="preserve"> </w:t>
            </w:r>
            <w:r>
              <w:rPr>
                <w:rFonts w:ascii="Times New Roman;serif" w:hAnsi="Times New Roman;serif"/>
                <w:b w:val="false"/>
                <w:color w:val="000000"/>
                <w:sz w:val="22"/>
              </w:rPr>
              <w:t>Agreement within 30 days following the date of Termination.</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Section 1 of Appendix A shall not apply for more than 12 months after the date of Termination.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88"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0"/>
                              </w:rPr>
                              <w:t>Annex 1 to Appendix A - Appendix A - 2     </w:t>
                            </w:r>
                            <w:r>
                              <w:rPr>
                                <w:rFonts w:ascii="Times New Roman;serif" w:hAnsi="Times New Roman;serif"/>
                                <w:b w:val="false"/>
                                <w:color w:val="000000"/>
                                <w:sz w:val="18"/>
                              </w:rPr>
                              <w:t>Director RSU Award Agreement – Initial</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0"/>
                        </w:rPr>
                        <w:t>Annex 1 to Appendix A - Appendix A - 2     </w:t>
                      </w:r>
                      <w:r>
                        <w:rPr>
                          <w:rFonts w:ascii="Times New Roman;serif" w:hAnsi="Times New Roman;serif"/>
                          <w:b w:val="false"/>
                          <w:color w:val="000000"/>
                          <w:sz w:val="18"/>
                        </w:rPr>
                        <w:t>Director RSU Award Agreement – Initial</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VIRGINIA</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the Participant is primarily a resident of, or primarily provides services in, Virginia on (i) the Date of Grant or (ii) the date of Termination: </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Section 1 of Appendix A shall not apply after the date of Termination, if the Participant is considered a “low-wage employee”, which is defined as anyone (i) earning, over a rolling 52-week period preceding the date of Termination, less than Virginia’s average weekly wage, which for the first quarter of 2025 was equivalent to approximately $76,082 annually or (ii) who, regardless of average weekly wage, is overtime eligible under the Fair Labor Standards Act. A low-wage employee does not include an employee whose earnings are derived, in whole or in predominant part, from sales commissions, incentives, or bonuses; and</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Sections 1 and 2(c) of Appendix A shall not prohibit the Participant from providing services to the Company’s customers or clients during the Post-Service Restriction Period, if the Participant does not initiate contact with or solicit such customer or client, to the extent required by Virginia law.</w:t>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WISCONSIN</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Participant is primarily a resident of, or primarily provides services in, Wisconsin on (i) the Date of Grant or (ii) the date of Termination:</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For the Post-Service Restriction Period, Section 2(c) of Appendix A shall only apply to current (rather than prospective) customers, suppliers, licensees or other business relations;</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Section 1 of Appendix A shall not apply for more than one year after the date of Termination; </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Sections 2(a) and 2(b) of Appendix A shall be limited to employees with whom Participant had a working relationship or about whom the Participant acquired or possessed specialized knowledge or Confidential Information, in each case, in connection with the Participant’s employment with or service to the Company; and</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Section 3 of Appendix A shall remain in effect until three years following the date of Termination with respect to Confidential Information that is not a trade secret, and, with respect to trade secrets, for as long as the information is a trade secret.</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10.39</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9"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0"/>
                              </w:rPr>
                              <w:t>Annex 1 to Appendix A - Appendix A - 3     </w:t>
                            </w:r>
                            <w:r>
                              <w:rPr>
                                <w:rFonts w:ascii="Times New Roman;serif" w:hAnsi="Times New Roman;serif"/>
                                <w:b w:val="false"/>
                                <w:color w:val="000000"/>
                                <w:sz w:val="18"/>
                              </w:rPr>
                              <w:t>Director RSU Award Agreement – Initial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0"/>
                        </w:rPr>
                        <w:t>Annex 1 to Appendix A - Appendix A - 3     </w:t>
                      </w:r>
                      <w:r>
                        <w:rPr>
                          <w:rFonts w:ascii="Times New Roman;serif" w:hAnsi="Times New Roman;serif"/>
                          <w:b w:val="false"/>
                          <w:color w:val="000000"/>
                          <w:sz w:val="18"/>
                        </w:rPr>
                        <w:t>Director RSU Award Agreement – Initial</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MEDLINE INC.</w:t>
        <w:br/>
        <w:t>2025 OMNIBUS INCENTIVE PLAN</w:t>
        <w:br/>
        <w:t>(RSU Grant – Employees)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Medline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the Medline Inc. 2025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the number of Restricted Stock Units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set forth below. The RSUs are subject to all of the terms and conditions as set forth herein, in the Restricted Stock Unit Agreement (attached hereto) (the “</w:t>
      </w:r>
      <w:r>
        <w:rPr>
          <w:rFonts w:ascii="Times New Roman;serif" w:hAnsi="Times New Roman;serif"/>
          <w:b w:val="false"/>
          <w:color w:val="000000"/>
          <w:sz w:val="22"/>
          <w:u w:val="single"/>
        </w:rPr>
        <w:t>RSU Agreement</w:t>
      </w:r>
      <w:r>
        <w:rPr>
          <w:color w:val="000000"/>
        </w:rPr>
        <w:t>”</w:t>
      </w:r>
      <w:r>
        <w:rPr>
          <w:rFonts w:ascii="Times New Roman;serif" w:hAnsi="Times New Roman;serif"/>
          <w:b w:val="false"/>
          <w:color w:val="000000"/>
          <w:sz w:val="22"/>
        </w:rPr>
        <w:t>), and in the Plan, all of which are incorporated herein in their entirety. Capitalized terms not otherwise defined herein shall have the meaning set forth in the Plan.</w:t>
      </w:r>
    </w:p>
    <w:p>
      <w:pPr>
        <w:pStyle w:val="TextBody"/>
        <w:bidi w:val="0"/>
        <w:spacing w:lineRule="auto" w:line="288" w:before="0" w:after="240"/>
        <w:ind w:left="0" w:right="0" w:hanging="3600"/>
        <w:jc w:val="left"/>
        <w:rPr/>
      </w:pPr>
      <w:r>
        <w:rPr>
          <w:rFonts w:ascii="Times New Roman;serif" w:hAnsi="Times New Roman;serif"/>
          <w:b/>
          <w:color w:val="000000"/>
          <w:sz w:val="22"/>
        </w:rPr>
        <w:t>Participant</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Date of Grant</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Vesting Commencement Date</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Number of RSUs</w:t>
      </w:r>
      <w:r>
        <w:rPr>
          <w:rFonts w:ascii="Times New Roman;serif" w:hAnsi="Times New Roman;serif"/>
          <w:b w:val="false"/>
          <w:color w:val="000000"/>
          <w:sz w:val="22"/>
        </w:rPr>
        <w:t>:     </w:t>
      </w:r>
    </w:p>
    <w:p>
      <w:pPr>
        <w:pStyle w:val="TextBody"/>
        <w:bidi w:val="0"/>
        <w:spacing w:lineRule="auto" w:line="288" w:before="0" w:after="240"/>
        <w:ind w:left="0" w:right="0" w:hanging="3600"/>
        <w:jc w:val="both"/>
        <w:rPr/>
      </w:pPr>
      <w:r>
        <w:rPr>
          <w:rFonts w:ascii="Times New Roman;serif" w:hAnsi="Times New Roman;serif"/>
          <w:b/>
          <w:color w:val="000000"/>
          <w:sz w:val="22"/>
        </w:rPr>
        <w:t>Vesting Schedule</w:t>
      </w:r>
      <w:r>
        <w:rPr>
          <w:rFonts w:ascii="Times New Roman;serif" w:hAnsi="Times New Roman;serif"/>
          <w:b w:val="false"/>
          <w:color w:val="000000"/>
          <w:sz w:val="22"/>
        </w:rPr>
        <w:t xml:space="preserve">:     </w:t>
      </w:r>
    </w:p>
    <w:p>
      <w:pPr>
        <w:pStyle w:val="TextBody"/>
        <w:bidi w:val="0"/>
        <w:spacing w:lineRule="auto" w:line="288" w:before="0" w:after="240"/>
        <w:ind w:left="0" w:right="0" w:hanging="3600"/>
        <w:jc w:val="both"/>
        <w:rPr/>
      </w:pPr>
      <w:r>
        <w:rPr>
          <w:rFonts w:ascii="Times New Roman;serif" w:hAnsi="Times New Roman;serif"/>
          <w:b/>
          <w:color w:val="000000"/>
          <w:sz w:val="22"/>
        </w:rPr>
        <w:t>Settlement</w:t>
      </w:r>
      <w:r>
        <w:rPr>
          <w:rFonts w:ascii="Times New Roman;serif" w:hAnsi="Times New Roman;serif"/>
          <w:b w:val="false"/>
          <w:color w:val="000000"/>
          <w:sz w:val="22"/>
        </w:rPr>
        <w:t>:    Any RSUs that become vested pursuant to the Vesting Schedule will be settled in accordance with Section 3 of the RSU Agreement.</w:t>
      </w:r>
    </w:p>
    <w:p>
      <w:pPr>
        <w:pStyle w:val="TextBody"/>
        <w:bidi w:val="0"/>
        <w:spacing w:before="0" w:after="0"/>
        <w:jc w:val="left"/>
        <w:rPr/>
      </w:pPr>
      <w:r>
        <w:rPr/>
      </w:r>
    </w:p>
    <w:p>
      <w:pPr>
        <w:pStyle w:val="TextBody"/>
        <w:bidi w:val="0"/>
        <w:spacing w:before="0" w:after="240"/>
        <w:ind w:left="0" w:right="0" w:hanging="3600"/>
        <w:jc w:val="both"/>
        <w:rPr/>
      </w:pPr>
      <w:r>
        <w:rPr/>
      </w:r>
    </w:p>
    <w:p>
      <w:pPr>
        <w:pStyle w:val="TextBody"/>
        <w:bidi w:val="0"/>
        <w:spacing w:lineRule="auto" w:line="288" w:before="0" w:after="240"/>
        <w:ind w:left="0" w:right="0" w:hanging="3600"/>
        <w:jc w:val="left"/>
        <w:rPr>
          <w:color w:val="000000"/>
        </w:rPr>
      </w:pPr>
      <w:r>
        <w:rPr>
          <w:color w:val="000000"/>
        </w:rPr>
        <w:t>    </w:t>
      </w: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THE UNDERSIGNED PARTICIPANT ACKNOWLEDGES RECEIPT OF THIS RSU GRANT NOTICE, THE RSU AGREEMENT AND THE PLAN, AND, AS AN EXPRESS CONDITION TO THE GRANT OF RSUS HEREUNDER, AGREES TO BE BOUND BY THE TERMS OF THIS RSU GRANT NOTICE, THE RSU AGREEMENT AND THE PLAN.</w:t>
      </w:r>
      <w:r>
        <w:rPr>
          <w:color w:val="000000"/>
          <w:u w:val="single"/>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MEDLINE INC.                PARTICIPANT</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        ________________________________</w:t>
        <w:br/>
        <w:t xml:space="preserve">By: </w:t>
        <w:br/>
        <w:t xml:space="preserve">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RESTRICTED STOCK UNIT AGREEMENT</w:t>
        <w:br/>
        <w:t>UNDER THE</w:t>
        <w:br/>
        <w:t>MEDLINE INC.</w:t>
        <w:br/>
        <w:t>2025 OMNIBUS INCENTIVE PLAN</w:t>
      </w:r>
    </w:p>
    <w:p>
      <w:pPr>
        <w:pStyle w:val="TextBody"/>
        <w:bidi w:val="0"/>
        <w:spacing w:before="0" w:after="24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Pursuant to the Restricted Stock Unit Grant Notice (the “</w:t>
      </w:r>
      <w:r>
        <w:rPr>
          <w:rFonts w:ascii="Times New Roman;serif" w:hAnsi="Times New Roman;serif"/>
          <w:b w:val="false"/>
          <w:color w:val="000000"/>
          <w:sz w:val="22"/>
          <w:u w:val="single"/>
        </w:rPr>
        <w:t>RSU Grant Notice</w:t>
      </w:r>
      <w:r>
        <w:rPr>
          <w:color w:val="000000"/>
        </w:rPr>
        <w:t>”</w:t>
      </w:r>
      <w:r>
        <w:rPr>
          <w:rFonts w:ascii="Times New Roman;serif" w:hAnsi="Times New Roman;serif"/>
          <w:b w:val="false"/>
          <w:color w:val="000000"/>
          <w:sz w:val="22"/>
        </w:rPr>
        <w:t>) delivered to the Participant, and subject to the terms and conditions of this RSU Agreement and the Medline Inc. 2025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Medline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88" w:before="0" w:after="240"/>
        <w:ind w:left="0" w:right="0" w:firstLine="99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Grant of RSUs.</w:t>
      </w:r>
      <w:r>
        <w:rPr>
          <w:color w:val="000000"/>
        </w:rPr>
        <w:t xml:space="preserve"> </w:t>
      </w:r>
      <w:r>
        <w:rPr>
          <w:rFonts w:ascii="Times New Roman;serif" w:hAnsi="Times New Roman;serif"/>
          <w:b w:val="false"/>
          <w:color w:val="000000"/>
          <w:sz w:val="22"/>
        </w:rPr>
        <w:t xml:space="preserve">Subject to the terms and conditions set forth herein and in the Plan, the Company hereby grants to the Participant the number of RSUs provided in the RSU Grant Notice (with each RSU representing an unfunded, unsecured right to receive one share of Common Stock upon the vesting of such RSU). The Company may make one or more additional grants of RSUs to the Participant under this RSU Agreement by providing the Participant with a new RSU Grant Notice, which may also include any terms and conditions differing from this RSU Agreement to the extent provided therein. The Company reserves all rights with respect to the granting of additional RSUs hereunder and makes no implied promise to grant additional RSUs. </w:t>
      </w:r>
    </w:p>
    <w:p>
      <w:pPr>
        <w:pStyle w:val="TextBody"/>
        <w:bidi w:val="0"/>
        <w:spacing w:lineRule="auto" w:line="288" w:before="0" w:after="240"/>
        <w:ind w:left="0" w:right="0" w:firstLine="99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Vesting.</w:t>
      </w:r>
      <w:r>
        <w:rPr>
          <w:color w:val="000000"/>
        </w:rPr>
        <w:t xml:space="preserve"> </w:t>
      </w:r>
      <w:r>
        <w:rPr>
          <w:rFonts w:ascii="Times New Roman;serif" w:hAnsi="Times New Roman;serif"/>
          <w:b w:val="false"/>
          <w:color w:val="000000"/>
          <w:sz w:val="22"/>
        </w:rPr>
        <w:t>Subject to the terms and conditions contained herein and in the Plan, the RSUs shall vest and the restrictions on the RSUs shall lapse as set forth in the RSU Grant Notice. With respect to any RSU, the period of time that such RSU remains subject to vesting shall be its “Restricted Period.” In the event any tranche of the vesting schedule results in fractional shares of Common Stock, such shares will be rounded down to the nearest whole share of Common Stock.</w:t>
      </w:r>
    </w:p>
    <w:p>
      <w:pPr>
        <w:pStyle w:val="TextBody"/>
        <w:bidi w:val="0"/>
        <w:spacing w:lineRule="auto" w:line="288" w:before="0" w:after="240"/>
        <w:ind w:left="0" w:right="0" w:firstLine="99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Settlement of RSUs.</w:t>
      </w:r>
      <w:r>
        <w:rPr>
          <w:color w:val="000000"/>
        </w:rPr>
        <w:t xml:space="preserve"> </w:t>
      </w:r>
      <w:r>
        <w:rPr>
          <w:rFonts w:ascii="Times New Roman;serif" w:hAnsi="Times New Roman;serif"/>
          <w:b w:val="false"/>
          <w:color w:val="000000"/>
          <w:sz w:val="22"/>
        </w:rPr>
        <w:t>Subject to the proviso in Section 9(d)(ii) of the Plan, within 75 days following the date on which the Restricted Period lapses with respect to an RSU, the Company shall issue to the Participant or the Participant’s beneficiary, without charge, one share of Common Stock (or other securities or other property, as applicable) for each such outstanding RSU.</w:t>
      </w:r>
      <w:r>
        <w:rPr>
          <w:color w:val="000000"/>
          <w:u w:val="single"/>
        </w:rPr>
        <w:t xml:space="preserve"> </w:t>
      </w:r>
    </w:p>
    <w:p>
      <w:pPr>
        <w:pStyle w:val="TextBody"/>
        <w:bidi w:val="0"/>
        <w:spacing w:lineRule="auto" w:line="288" w:before="0" w:after="240"/>
        <w:ind w:left="0" w:right="0" w:firstLine="99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Treatment of RSUs Upon Termination or Protective Covenant Violation.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Unless otherwise determined by the Committee:</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(i)in the event of the Participant’s Termination due to death or Disability, all then-outstanding RSUs (or substitute equity or consideration of purchaser or its Affiliates, as applicable) shall vest upon the Participant’s Termination and shall be settled as set forth in Section 3 of the RSU Agreement; </w:t>
      </w:r>
    </w:p>
    <w:p>
      <w:pPr>
        <w:pStyle w:val="TextBody"/>
        <w:bidi w:val="0"/>
        <w:spacing w:lineRule="auto" w:line="288" w:before="0" w:after="240"/>
        <w:ind w:left="0" w:right="0" w:hanging="360"/>
        <w:jc w:val="both"/>
        <w:rPr/>
      </w:pPr>
      <w:r>
        <w:rPr>
          <w:rFonts w:ascii="Times New Roman;serif" w:hAnsi="Times New Roman;serif"/>
          <w:b w:val="false"/>
          <w:color w:val="000000"/>
          <w:sz w:val="22"/>
        </w:rPr>
        <w:t>(ii)in the event of the Participant’s Termination without Cause (excluding death or Disability) or resignation for Good Reason, in either case, within the CIC Transaction Protection Period applicable to the Participant (a “</w:t>
      </w:r>
      <w:r>
        <w:rPr>
          <w:rFonts w:ascii="Times New Roman;serif" w:hAnsi="Times New Roman;serif"/>
          <w:b w:val="false"/>
          <w:color w:val="000000"/>
          <w:sz w:val="22"/>
          <w:u w:val="single"/>
        </w:rPr>
        <w:t>Qualifying CIC Termination</w:t>
      </w:r>
      <w:r>
        <w:rPr>
          <w:color w:val="000000"/>
        </w:rPr>
        <w:t>”</w:t>
      </w:r>
      <w:r>
        <w:rPr>
          <w:rFonts w:ascii="Times New Roman;serif" w:hAnsi="Times New Roman;serif"/>
          <w:b w:val="false"/>
          <w:color w:val="000000"/>
          <w:sz w:val="22"/>
        </w:rPr>
        <w:t xml:space="preserve">), all then-outstanding RSUs (or substitute equity or consideration of purchaser or its Affiliates, as applicable) shall vest upon such Qualifying CIC Termination and shall be settled as set forth in Section 3 of the RSU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(iii)in the event of the Participant’s Termination for any reason other than set forth in Section 4(a)(i) and Section 4(a)(ii), all vesting of RSUs shall cease and all unvested RSUs shall be forfeited to the Company by the Participant for no consideration (and without any further action by the Company) as of the date of such Termination; and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(iv)in the event of (A) the Participant’s Termination by the Company for Cause, (B) the Participant’s voluntary resignation when grounds for Cause exist or (C) a Protective Covenant Violation, all vested RSUs that have not been settled in shares of Common Stock pursuant to Section 3 of this RSU Agreement shall be forfeited to the Company by the Participant for no consideration (and without any further action by the Company) as of the date of such 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Certain defined terms. As used herein, the following terms shall have the following meanings:</w:t>
      </w:r>
    </w:p>
    <w:p>
      <w:pPr>
        <w:pStyle w:val="TextBody"/>
        <w:bidi w:val="0"/>
        <w:spacing w:lineRule="auto" w:line="288" w:before="0" w:after="240"/>
        <w:ind w:left="0" w:right="0" w:hanging="360"/>
        <w:jc w:val="both"/>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u w:val="single"/>
        </w:rPr>
        <w:t>CIC Transaction Protection Period</w:t>
      </w:r>
      <w:r>
        <w:rPr>
          <w:color w:val="000000"/>
        </w:rPr>
        <w:t xml:space="preserve">” </w:t>
      </w:r>
      <w:r>
        <w:rPr>
          <w:rFonts w:ascii="Times New Roman;serif" w:hAnsi="Times New Roman;serif"/>
          <w:b w:val="false"/>
          <w:color w:val="000000"/>
          <w:sz w:val="22"/>
        </w:rPr>
        <w:t>shall have the meaning given to such term in the Severance Plan applicable to the Participant as of the relevant determination date, except that if the applicable Severance Plan does not contain a such definition, the CIC Transaction Protection Period shall be six (6) months following the Change in Control.</w:t>
      </w:r>
    </w:p>
    <w:p>
      <w:pPr>
        <w:pStyle w:val="TextBody"/>
        <w:bidi w:val="0"/>
        <w:spacing w:lineRule="auto" w:line="288" w:before="0" w:after="240"/>
        <w:ind w:left="0" w:right="0" w:hanging="360"/>
        <w:jc w:val="both"/>
        <w:rPr/>
      </w:pPr>
      <w:r>
        <w:rPr>
          <w:rFonts w:ascii="Times New Roman;serif" w:hAnsi="Times New Roman;serif"/>
          <w:b w:val="false"/>
          <w:color w:val="000000"/>
          <w:sz w:val="22"/>
        </w:rPr>
        <w:t>(ii)</w:t>
      </w:r>
      <w:r>
        <w:rPr>
          <w:color w:val="000000"/>
        </w:rPr>
        <w:t>“</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shall have the meaning given to such term in the Severance Plan applicable to the Participant as of the relevant determination date, except that if the applicable Severance Plan does not contain such definition, then Good Reason shall have the meaning set forth in the Medline Inc. SVP and VP Severance Plan.</w:t>
      </w:r>
    </w:p>
    <w:p>
      <w:pPr>
        <w:pStyle w:val="TextBody"/>
        <w:bidi w:val="0"/>
        <w:spacing w:lineRule="auto" w:line="288" w:before="0" w:after="240"/>
        <w:ind w:left="0" w:right="0" w:hanging="360"/>
        <w:jc w:val="both"/>
        <w:rPr/>
      </w:pPr>
      <w:r>
        <w:rPr>
          <w:rFonts w:ascii="Times New Roman;serif" w:hAnsi="Times New Roman;serif"/>
          <w:b w:val="false"/>
          <w:color w:val="000000"/>
          <w:sz w:val="22"/>
        </w:rPr>
        <w:t>(iii)</w:t>
      </w:r>
      <w:r>
        <w:rPr>
          <w:color w:val="000000"/>
        </w:rPr>
        <w:t>“</w:t>
      </w:r>
      <w:r>
        <w:rPr>
          <w:rFonts w:ascii="Times New Roman;serif" w:hAnsi="Times New Roman;serif"/>
          <w:b w:val="false"/>
          <w:color w:val="000000"/>
          <w:sz w:val="22"/>
          <w:u w:val="single"/>
        </w:rPr>
        <w:t>Severance Plan</w:t>
      </w:r>
      <w:r>
        <w:rPr>
          <w:color w:val="000000"/>
        </w:rPr>
        <w:t xml:space="preserve">” </w:t>
      </w:r>
      <w:r>
        <w:rPr>
          <w:rFonts w:ascii="Times New Roman;serif" w:hAnsi="Times New Roman;serif"/>
          <w:b w:val="false"/>
          <w:color w:val="000000"/>
          <w:sz w:val="22"/>
        </w:rPr>
        <w:t xml:space="preserve">means, as applicable to the Participant, (A) the Amended &amp; Restated Medline Inc. Executive Severance Plan, (B) the Medline Inc. SVP and VP Severance Plan, and (C) the Medline Inc. Severance Plan, in each case, as the same may be amended and/or restated from time to time. </w:t>
      </w:r>
    </w:p>
    <w:p>
      <w:pPr>
        <w:pStyle w:val="TextBody"/>
        <w:bidi w:val="0"/>
        <w:spacing w:lineRule="auto" w:line="288" w:before="0" w:after="240"/>
        <w:ind w:left="0" w:right="0" w:firstLine="99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 xml:space="preserve">Company; Participant.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term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 xml:space="preserve">as used in this RSU Agreement with reference to employment or service shall include the Board, the Company and its Subsidiaries.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Whenever the word “</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is used in any provision of this RSU Agreement under circumstances where the provision should logically be construed to apply to the executors, the administrators, or the person or persons to whom the RSUs may be transferred by will or by the laws of descent and distribution, the word “Participant” shall be deemed to include such person or persons. </w:t>
      </w:r>
    </w:p>
    <w:p>
      <w:pPr>
        <w:pStyle w:val="TextBody"/>
        <w:bidi w:val="0"/>
        <w:spacing w:lineRule="auto" w:line="288" w:before="0" w:after="240"/>
        <w:ind w:left="0" w:right="0" w:firstLine="99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Non-Transferability.</w:t>
      </w:r>
      <w:r>
        <w:rPr>
          <w:color w:val="000000"/>
        </w:rPr>
        <w:t xml:space="preserve"> </w:t>
      </w:r>
      <w:r>
        <w:rPr>
          <w:rFonts w:ascii="Times New Roman;serif" w:hAnsi="Times New Roman;serif"/>
          <w:b w:val="false"/>
          <w:color w:val="000000"/>
          <w:sz w:val="22"/>
        </w:rPr>
        <w:t xml:space="preserve">The RSUs are not transferable by the Participant except to Permitted Transferees in accordance with Section 14(b) of the Plan. Except as otherwise provided herein, no assignment or transfer of the RSUs, or of the rights represented thereby, whether voluntary or involuntary, by operation of law or otherwise, shall vest in the assignee or transferee any interest or right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3" name="Frame1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herein whatsoever, but immediately upon such assignment or transfer the RSUs shall terminate and become of no further effect. </w:t>
      </w:r>
    </w:p>
    <w:p>
      <w:pPr>
        <w:pStyle w:val="TextBody"/>
        <w:bidi w:val="0"/>
        <w:spacing w:lineRule="auto" w:line="288" w:before="0" w:after="240"/>
        <w:ind w:left="0" w:right="0" w:firstLine="99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Subject to any dividend equivalent payments to be provided to the Participant in accordance with the RSU Grant Notice and Section 14(c)(iii) of the Plan, the Participant or a Permitted Transferee of the RSUs shall have no rights as a stockholder with respect to any share of Common Stock underlying an RSU unless and until the Participant shall have become the holder of record or the beneficial owner of such shares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88" w:before="0" w:after="240"/>
        <w:ind w:left="0" w:right="0" w:firstLine="99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Dividend Equivalents.</w:t>
      </w:r>
      <w:r>
        <w:rPr>
          <w:color w:val="000000"/>
        </w:rPr>
        <w:t xml:space="preserve"> </w:t>
      </w:r>
      <w:r>
        <w:rPr>
          <w:rFonts w:ascii="Times New Roman;serif" w:hAnsi="Times New Roman;serif"/>
          <w:b w:val="false"/>
          <w:color w:val="000000"/>
          <w:sz w:val="22"/>
        </w:rPr>
        <w:t>The RSUs shall be entitled to be credited with dividend equivalent payments (upon the payment by the Company of dividends on shares of Common Stock), which shall accrue in cash without interest and shall be delivered in cash. Accumulated dividend equivalents shall be payable at such time as the underlying RSUs to which such dividend equivalents relate are settled in accordance with Section 3 of this RSU Agreement. For the avoidance of doubt, dividend equivalents accrued in respect of RSUs shall only be paid to the extent the underlying RSU vests and is settled. To the extent that any RSUs are forfeited and not vested and settled, the Participant shall have no right to dividend equivalent payments in respect of such forfeited and unvested RSUs.</w:t>
      </w:r>
      <w:r>
        <w:rPr>
          <w:color w:val="000000"/>
          <w:u w:val="single"/>
        </w:rPr>
        <w:t xml:space="preserve"> </w:t>
      </w:r>
    </w:p>
    <w:p>
      <w:pPr>
        <w:pStyle w:val="TextBody"/>
        <w:bidi w:val="0"/>
        <w:spacing w:lineRule="auto" w:line="288" w:before="0" w:after="240"/>
        <w:ind w:left="0" w:right="0" w:firstLine="99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Tax Withholding.</w:t>
      </w:r>
      <w:r>
        <w:rPr>
          <w:color w:val="000000"/>
        </w:rPr>
        <w:t xml:space="preserve"> </w:t>
      </w:r>
      <w:r>
        <w:rPr>
          <w:rFonts w:ascii="Times New Roman;serif" w:hAnsi="Times New Roman;serif"/>
          <w:b w:val="false"/>
          <w:color w:val="000000"/>
          <w:sz w:val="22"/>
        </w:rPr>
        <w:t xml:space="preserve">The provisions of Section 14(d) of the Plan are incorporated herein by reference and made a part hereof. In addition, the Committee, subject to it having considered the applicable accounting impact of any such determination, has full discretion to allow the Participant to satisfy, in whole or in part, any additional income, employment, national insurance and/or other applicable taxes payable by the Participant with respect to the RSUs by electing to have the Company withhold from the shares of Common Stock otherwise issuable or deliverable to, or that would otherwise be retained by, the Participant upon the grant, vesting or settlement of the RSUs, as applicable, shares of Common Stock having an aggregate Fair Market Value that is greater than the applicable minimum required statutory withholding liability (but such withholding may in no event be in excess of the maximum statutory withholding amount(s) in the Participant’s relevant tax jurisdictions). </w:t>
      </w:r>
    </w:p>
    <w:p>
      <w:pPr>
        <w:pStyle w:val="TextBody"/>
        <w:bidi w:val="0"/>
        <w:spacing w:lineRule="auto" w:line="288" w:before="0" w:after="240"/>
        <w:ind w:left="0" w:right="0" w:firstLine="99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Notice.</w:t>
      </w:r>
      <w:r>
        <w:rPr>
          <w:color w:val="000000"/>
        </w:rPr>
        <w:t xml:space="preserve"> </w:t>
      </w:r>
      <w:r>
        <w:rPr>
          <w:rFonts w:ascii="Times New Roman;serif" w:hAnsi="Times New Roman;serif"/>
          <w:b w:val="false"/>
          <w:color w:val="000000"/>
          <w:sz w:val="22"/>
        </w:rPr>
        <w:t>Every notice or other communication relating to this RSU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provided, that, unless and until some other address be so designated, all notices or communications by the Participant to the Company shall be mailed or delivered to the Company at its principal executive office, to the attention of the Corporate Secretary, and all notices or communications by the Company to the Participant may be given to the Participant personally or may be mailed to the Participant at the Participant’s last known address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lineRule="auto" w:line="288" w:before="0" w:after="240"/>
        <w:ind w:left="0" w:right="0" w:firstLine="99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 Right to Continued Service.</w:t>
      </w:r>
      <w:r>
        <w:rPr>
          <w:color w:val="000000"/>
        </w:rPr>
        <w:t xml:space="preserve"> </w:t>
      </w:r>
      <w:r>
        <w:rPr>
          <w:rFonts w:ascii="Times New Roman;serif" w:hAnsi="Times New Roman;serif"/>
          <w:b w:val="false"/>
          <w:color w:val="000000"/>
          <w:sz w:val="22"/>
        </w:rPr>
        <w:t xml:space="preserve">This RSU Agreement does not confer upon the Participant any right to continue as an employee or service provider to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60655"/>
                <wp:effectExtent l="0" t="0" r="0" b="0"/>
                <wp:wrapNone/>
                <wp:docPr id="194" name="Frame1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Binding Effect.</w:t>
      </w:r>
      <w:r>
        <w:rPr>
          <w:color w:val="000000"/>
        </w:rPr>
        <w:t xml:space="preserve"> </w:t>
      </w:r>
      <w:r>
        <w:rPr>
          <w:rFonts w:ascii="Times New Roman;serif" w:hAnsi="Times New Roman;serif"/>
          <w:b w:val="false"/>
          <w:color w:val="000000"/>
          <w:sz w:val="22"/>
        </w:rPr>
        <w:t>This RSU Agreement shall be binding upon the heirs, executors, administrators and successors of the parties hereto.</w:t>
      </w:r>
    </w:p>
    <w:p>
      <w:pPr>
        <w:pStyle w:val="TextBody"/>
        <w:bidi w:val="0"/>
        <w:spacing w:lineRule="auto" w:line="288" w:before="0" w:after="120"/>
        <w:ind w:left="0" w:right="0" w:firstLine="994"/>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Protective Covenants.</w:t>
      </w:r>
      <w:r>
        <w:rPr>
          <w:color w:val="000000"/>
        </w:rPr>
        <w:t xml:space="preserve"> </w:t>
      </w:r>
      <w:r>
        <w:rPr>
          <w:rFonts w:ascii="Times New Roman;serif" w:hAnsi="Times New Roman;serif"/>
          <w:b w:val="false"/>
          <w:color w:val="000000"/>
          <w:sz w:val="22"/>
        </w:rPr>
        <w:t>The Participant acknowledges and recognizes the highly competitive nature of the businesses of the Company and its Affiliates and accordingly Participant agrees to comply with the restrictions in Section 6 of the Protective Covenants Agreement (Appendix 1) inclusive of the modifications in Appendix A where applicable (the “Protective Covenants”) as a precondition of eligibility to receive and retain the benefits of this RSU Agreement, and acknowledges that if Participant fails to comply with such restrictions, or the restrictions are deemed void or unenforceable in some respect deemed material by the Company, the Company will have the right to demand and recoup all (or a Company-determined portion) of the benefits of this RSU Agreement in accordance with Section 4 from Participant, unless otherwise prohibited under controlling law. For purposes of this RSU Agreement, “</w:t>
      </w:r>
      <w:r>
        <w:rPr>
          <w:rFonts w:ascii="Times New Roman;serif" w:hAnsi="Times New Roman;serif"/>
          <w:b w:val="false"/>
          <w:color w:val="000000"/>
          <w:sz w:val="22"/>
          <w:u w:val="single"/>
        </w:rPr>
        <w:t>Protective Covenant Violation</w:t>
      </w:r>
      <w:r>
        <w:rPr>
          <w:color w:val="000000"/>
        </w:rPr>
        <w:t xml:space="preserve">” </w:t>
      </w:r>
      <w:r>
        <w:rPr>
          <w:rFonts w:ascii="Times New Roman;serif" w:hAnsi="Times New Roman;serif"/>
          <w:b w:val="false"/>
          <w:color w:val="000000"/>
          <w:sz w:val="22"/>
        </w:rPr>
        <w:t xml:space="preserve">means the Participant’s breach of any of the Protective Covenants or any similar provision applicable to the Participant. </w:t>
      </w:r>
    </w:p>
    <w:p>
      <w:pPr>
        <w:pStyle w:val="TextBody"/>
        <w:bidi w:val="0"/>
        <w:spacing w:lineRule="auto" w:line="288" w:before="0" w:after="120"/>
        <w:ind w:left="0" w:right="0" w:firstLine="994"/>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Waiver and Amendments.</w:t>
      </w:r>
      <w:r>
        <w:rPr>
          <w:color w:val="000000"/>
        </w:rPr>
        <w:t xml:space="preserve"> </w:t>
      </w:r>
      <w:r>
        <w:rPr>
          <w:rFonts w:ascii="Times New Roman;serif" w:hAnsi="Times New Roman;serif"/>
          <w:b w:val="false"/>
          <w:color w:val="000000"/>
          <w:sz w:val="22"/>
        </w:rPr>
        <w:t>Except as otherwise set forth in Section 13 of the Plan, any waiver, alteration, amendment or modification of any of the terms of this RSU Agreement shall be valid only if made in writing and signed by the parties hereto; provided, however,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88" w:before="0" w:after="120"/>
        <w:ind w:left="0" w:right="0" w:firstLine="994"/>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Clawback/Forfeiture.</w:t>
      </w:r>
      <w:r>
        <w:rPr>
          <w:color w:val="000000"/>
        </w:rPr>
        <w:t xml:space="preserve"> </w:t>
      </w:r>
      <w:r>
        <w:rPr>
          <w:rFonts w:ascii="Times New Roman;serif" w:hAnsi="Times New Roman;serif"/>
          <w:b w:val="false"/>
          <w:color w:val="000000"/>
          <w:sz w:val="22"/>
        </w:rPr>
        <w:t>If (a) the Participant’s employment is terminated by the Company or any of its Affiliates, as applicable, for Cause (or if the Participant voluntarily resigns the Participant’s employment with the Company or its applicable Affiliates when grounds for Cause exist), (b) a Protective Covenant Violation occurs, or (c) the Company discovers within one year after a Termination for any reason that grounds for a Termination for Cause existed at the time of such Termination, then, in each case, the Participant shall be required, in addition to any other remedy available (on a non-exclusive basis), to pay to the Company, within 10 business days after the Company’s request to the Participant therefor, an amount equal to the aggregate after-tax proceeds (taking into account all amounts of tax that would be recoverable upon a claim of loss for payment of such proceeds in the year of repayment) that the Participant received upon the sale or other disposition of, or distributions in respect of, the RSUs issued hereunder (including any shares of Common Stock issued upon settlement of any such RSU), unless otherwise prohibited by law. In addition, any incentive compensation paid to the Participant in respect of the RSUs is subject to recoupment under any clawback policy in effect (including the Medline Incentive Compensation Clawback Policy), whether pursuant to applicable exchange listing rules or otherwise. Any reference in this RSU Agreement to grounds existing for a Termination for Cause shall be determined without regard to any notice period, cure period, or other procedural delay or event required prior to a finding of, or Termination for, Cause.</w:t>
      </w:r>
    </w:p>
    <w:p>
      <w:pPr>
        <w:pStyle w:val="TextBody"/>
        <w:bidi w:val="0"/>
        <w:spacing w:lineRule="auto" w:line="288" w:before="0" w:after="120"/>
        <w:ind w:left="0" w:right="0" w:firstLine="994"/>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Governing Law.</w:t>
      </w:r>
      <w:r>
        <w:rPr>
          <w:color w:val="000000"/>
        </w:rPr>
        <w:t xml:space="preserve"> </w:t>
      </w:r>
      <w:r>
        <w:rPr>
          <w:rFonts w:ascii="Times New Roman;serif" w:hAnsi="Times New Roman;serif"/>
          <w:b w:val="false"/>
          <w:color w:val="000000"/>
          <w:sz w:val="22"/>
        </w:rPr>
        <w:t xml:space="preserve">This RSU Agreement shall be construed and interpreted in accordance with the laws of the State of Delaware, without regard to the principles of conflicts of law thereof; provided, however, that the Protective Covenants shall be governed by and construed in accordance with the laws of the state in which the Participant primarily resides in accordance with the terms of the Protective Covenants Agreement without regard to the principles of conflicts of laws. Notwithstanding anything contained in this RSU Agreement, the RSU Grant Notice or the Plan to the contrary, if any suit or claim is instituted by the Participant or the Company relating to this RSU Agreement, the RSU Grant Notice or the Plan, the Participant hereby submits to the exclusive jurisdiction of and venue in the courts of Delaware as concerns any claim that can be pursued in a court of law arising from this RSU Agreement. It is further understood that the Protective Covenants Agreement is independently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5" name="Frame1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enforceable as a separate but ancillary contract with its own choice of law, venue and forum selection terms and is not subject to the exclusive choice of courts located in Delaware.</w:t>
      </w:r>
    </w:p>
    <w:p>
      <w:pPr>
        <w:pStyle w:val="TextBody"/>
        <w:bidi w:val="0"/>
        <w:spacing w:lineRule="auto" w:line="288" w:before="0" w:after="120"/>
        <w:ind w:left="0" w:right="0" w:firstLine="994"/>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Section 409A of the Code.</w:t>
      </w:r>
      <w:r>
        <w:rPr>
          <w:color w:val="000000"/>
        </w:rPr>
        <w:t xml:space="preserve"> </w:t>
      </w:r>
      <w:r>
        <w:rPr>
          <w:rFonts w:ascii="Times New Roman;serif" w:hAnsi="Times New Roman;serif"/>
          <w:b w:val="false"/>
          <w:color w:val="000000"/>
          <w:sz w:val="22"/>
        </w:rPr>
        <w:t>To the extent that the Participant is subject to U.S. taxation, this RSU Agreement is intended to comply with or be exempt from the provisions of Section 409A of the Code and the regulations promulgated thereunder, and shall be interpreted consistent with such intent. Without limiting the foregoing, the Committee will have the right to amend the terms and conditions of this RSU Agreement in any respect as may be necessary or appropriate to comply with Section 409A of the Code or any regulations promulgated thereunder, including, without limitation, by delaying the issuance of the shares of Common Stock contemplated hereunder. Notwithstanding any other provision of this RSU Agreement to the contrary, if the Participant is a “specified employee” within the meaning of Section 409A of the Code, and is subject to U.S. federal income tax, no payments in respect of any RSU that is “deferred compensation” subject to Section 409A of the Code and which would otherwise be payable upon the Participant’s “separation from service” (as defined in Section 409A of the Code) will be made to the Participant prior to the date that is six months after the date of the Participant’s “separation from service” or, if earlier, the Participant’s date of death. Following any applicable six-month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this RSU Agreement, and the Company will not be liable to any Participant for any payment made under the Plan or this RSU Agreement that is determined to result in an additional tax, penalty or interest under Section 409A of the Code, nor for reporting in good faith any payment made under this RSU Agreement as an amount includible in gross income under Section 409A of the Code.</w:t>
      </w:r>
    </w:p>
    <w:p>
      <w:pPr>
        <w:pStyle w:val="TextBody"/>
        <w:bidi w:val="0"/>
        <w:spacing w:lineRule="auto" w:line="288" w:before="0" w:after="120"/>
        <w:ind w:left="0" w:right="0" w:firstLine="994"/>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Appendix for Non-U.S. Participants.</w:t>
      </w:r>
      <w:r>
        <w:rPr>
          <w:color w:val="000000"/>
        </w:rPr>
        <w:t xml:space="preserve"> </w:t>
      </w:r>
      <w:r>
        <w:rPr>
          <w:rFonts w:ascii="Times New Roman;serif" w:hAnsi="Times New Roman;serif"/>
          <w:b w:val="false"/>
          <w:color w:val="000000"/>
          <w:sz w:val="22"/>
        </w:rPr>
        <w:t>If the Participant is residing and/or working principally outside of the United States, the RSUs shall be subject to any special provisions set forth in Appendix 2 to this RSU Agreement. If the Participant becomes based outside the United States while holding any RSUs, the special provisions set forth in Appendix 2 shall apply to the Participant to the extent that the Company determines that the application of such provisions is necessary or advisable for legal or administrative reasons. Moreover, if the Participant relocates between any of the countries included on Appendix 2, the special provisions set forth in Appendix 2 for such country shall apply to the Participant to the extent that the Company determines that the application of such provisions is necessary or advisable for legal or administrative reasons. Appendix 2 constitutes part of this RSU Agreement.</w:t>
      </w:r>
    </w:p>
    <w:p>
      <w:pPr>
        <w:pStyle w:val="TextBody"/>
        <w:bidi w:val="0"/>
        <w:spacing w:lineRule="auto" w:line="288" w:before="0" w:after="120"/>
        <w:ind w:left="0" w:right="0" w:firstLine="994"/>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The terms and provisions of the Plan are incorporated herein by reference. In the event of a conflict or inconsistency between the terms and provisions of the Plan and the provisions of this RSU Agreement (including the RSU Grant Notice), the Plan shall govern and control.</w:t>
      </w:r>
    </w:p>
    <w:p>
      <w:pPr>
        <w:pStyle w:val="TextBody"/>
        <w:bidi w:val="0"/>
        <w:spacing w:lineRule="auto" w:line="288" w:before="0" w:after="120"/>
        <w:ind w:left="0" w:right="0" w:firstLine="994"/>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Imposition of Other Requirements.</w:t>
      </w:r>
      <w:r>
        <w:rPr>
          <w:color w:val="000000"/>
        </w:rPr>
        <w:t xml:space="preserve"> </w:t>
      </w:r>
      <w:r>
        <w:rPr>
          <w:rFonts w:ascii="Times New Roman;serif" w:hAnsi="Times New Roman;serif"/>
          <w:b w:val="false"/>
          <w:color w:val="000000"/>
          <w:sz w:val="22"/>
        </w:rPr>
        <w:t>The Company reserves the right to impose other requirements on the Participant’s participation in the Plan, on the RSUs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120"/>
        <w:ind w:left="0" w:right="0" w:firstLine="994"/>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Electronic Delivery and Acceptance.</w:t>
      </w:r>
      <w:r>
        <w:rPr>
          <w:color w:val="000000"/>
        </w:rPr>
        <w:t xml:space="preserve"> </w:t>
      </w:r>
      <w:r>
        <w:rPr>
          <w:rFonts w:ascii="Times New Roman;serif" w:hAnsi="Times New Roman;serif"/>
          <w:b w:val="false"/>
          <w:color w:val="000000"/>
          <w:sz w:val="22"/>
        </w:rPr>
        <w:t>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60655"/>
                <wp:effectExtent l="0" t="0" r="0" b="0"/>
                <wp:wrapNone/>
                <wp:docPr id="196" name="Frame1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556" w:before="0" w:after="240"/>
        <w:jc w:val="center"/>
        <w:rPr/>
      </w:pPr>
      <w:r>
        <w:rPr>
          <w:rFonts w:ascii="Times New Roman;serif" w:hAnsi="Times New Roman;serif"/>
          <w:b w:val="false"/>
          <w:color w:val="000000"/>
          <w:sz w:val="22"/>
          <w:u w:val="single"/>
        </w:rPr>
        <w:t>Entire Agreement.</w:t>
      </w:r>
      <w:r>
        <w:rPr>
          <w:color w:val="000000"/>
        </w:rPr>
        <w:t xml:space="preserve"> </w:t>
      </w:r>
      <w:r>
        <w:rPr>
          <w:rFonts w:ascii="Times New Roman;serif" w:hAnsi="Times New Roman;serif"/>
          <w:b w:val="false"/>
          <w:color w:val="000000"/>
          <w:sz w:val="22"/>
        </w:rPr>
        <w:t>This RSU Agreement (including, without limitation, all exhibits and appendices attached hereto), the RSU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60655"/>
                <wp:effectExtent l="0" t="0" r="0" b="0"/>
                <wp:wrapNone/>
                <wp:docPr id="197" name="Frame1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Appendix 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Protective Covenant Appendix</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60655"/>
                <wp:effectExtent l="0" t="0" r="0" b="0"/>
                <wp:wrapNone/>
                <wp:docPr id="198" name="Frame1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Appendix 2</w:t>
      </w:r>
    </w:p>
    <w:p>
      <w:pPr>
        <w:pStyle w:val="TextBody"/>
        <w:bidi w:val="0"/>
        <w:spacing w:lineRule="auto" w:line="288"/>
        <w:jc w:val="center"/>
        <w:rPr>
          <w:rFonts w:ascii="Times New Roman;serif" w:hAnsi="Times New Roman;serif"/>
          <w:b/>
          <w:i/>
          <w:color w:val="000000"/>
          <w:sz w:val="22"/>
        </w:rPr>
      </w:pPr>
      <w:r>
        <w:rPr>
          <w:rFonts w:ascii="Times New Roman;serif" w:hAnsi="Times New Roman;serif"/>
          <w:b/>
          <w:i/>
          <w:color w:val="000000"/>
          <w:sz w:val="22"/>
        </w:rPr>
        <w:t>Country-Specific Appendix</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10.40</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60655"/>
                <wp:effectExtent l="0" t="0" r="0" b="0"/>
                <wp:wrapNone/>
                <wp:docPr id="199" name="Frame1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MEDLINE INC.</w:t>
        <w:br/>
        <w:t>2025 OMNIBUS INCENTIVE PLAN</w:t>
        <w:br/>
        <w:t>(RSU Grant – Directors)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Medline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the Medline Inc. 2025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the number of Restricted Stock Units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set forth below. The RSUs are subject to all of the terms and conditions as set forth herein, in the Restricted Stock Unit Agreement (attached hereto) (the “</w:t>
      </w:r>
      <w:r>
        <w:rPr>
          <w:rFonts w:ascii="Times New Roman;serif" w:hAnsi="Times New Roman;serif"/>
          <w:b w:val="false"/>
          <w:color w:val="000000"/>
          <w:sz w:val="22"/>
          <w:u w:val="single"/>
        </w:rPr>
        <w:t>RSU Agreement</w:t>
      </w:r>
      <w:r>
        <w:rPr>
          <w:color w:val="000000"/>
        </w:rPr>
        <w:t>”</w:t>
      </w:r>
      <w:r>
        <w:rPr>
          <w:rFonts w:ascii="Times New Roman;serif" w:hAnsi="Times New Roman;serif"/>
          <w:b w:val="false"/>
          <w:color w:val="000000"/>
          <w:sz w:val="22"/>
        </w:rPr>
        <w:t>), and in the Plan, all of which are incorporated herein in their entirety. Capitalized terms not otherwise defined herein shall have the meaning set forth in the Plan.</w:t>
      </w:r>
    </w:p>
    <w:p>
      <w:pPr>
        <w:pStyle w:val="TextBody"/>
        <w:bidi w:val="0"/>
        <w:spacing w:lineRule="auto" w:line="288" w:before="0" w:after="240"/>
        <w:ind w:left="0" w:right="0" w:hanging="3600"/>
        <w:jc w:val="left"/>
        <w:rPr/>
      </w:pPr>
      <w:r>
        <w:rPr>
          <w:rFonts w:ascii="Times New Roman;serif" w:hAnsi="Times New Roman;serif"/>
          <w:b/>
          <w:color w:val="000000"/>
          <w:sz w:val="22"/>
        </w:rPr>
        <w:t>Participant</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Date of Grant</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Number of RSUs</w:t>
      </w:r>
      <w:r>
        <w:rPr>
          <w:rFonts w:ascii="Times New Roman;serif" w:hAnsi="Times New Roman;serif"/>
          <w:b w:val="false"/>
          <w:color w:val="000000"/>
          <w:sz w:val="22"/>
        </w:rPr>
        <w:t>:     </w:t>
      </w:r>
    </w:p>
    <w:p>
      <w:pPr>
        <w:pStyle w:val="TextBody"/>
        <w:bidi w:val="0"/>
        <w:spacing w:lineRule="auto" w:line="288" w:before="0" w:after="0"/>
        <w:ind w:left="0" w:right="0" w:hanging="3600"/>
        <w:jc w:val="both"/>
        <w:rPr/>
      </w:pPr>
      <w:r>
        <w:rPr>
          <w:rFonts w:ascii="Times New Roman;serif" w:hAnsi="Times New Roman;serif"/>
          <w:b/>
          <w:color w:val="000000"/>
          <w:sz w:val="22"/>
        </w:rPr>
        <w:t>Vesting Schedule</w:t>
      </w:r>
      <w:r>
        <w:rPr>
          <w:rFonts w:ascii="Times New Roman;serif" w:hAnsi="Times New Roman;serif"/>
          <w:b w:val="false"/>
          <w:color w:val="000000"/>
          <w:sz w:val="22"/>
        </w:rPr>
        <w:t>:    Provided that the Participant has not undergone a Termination at the time of the applicable vesting date, but subject to Section 4 of the RSU Agreement, 100% of the RSUs will vest on the earlier of (i) the first anniversary of the Date of Grant, and (ii) the Company’s next annual meeting of stockholders following the Date of Grant set forth above.</w:t>
      </w:r>
    </w:p>
    <w:p>
      <w:pPr>
        <w:pStyle w:val="TextBody"/>
        <w:bidi w:val="0"/>
        <w:spacing w:lineRule="auto" w:line="288" w:before="0" w:after="0"/>
        <w:ind w:left="0" w:right="0" w:hanging="3600"/>
        <w:jc w:val="both"/>
        <w:rPr>
          <w:color w:val="000000"/>
        </w:rPr>
      </w:pPr>
      <w:r>
        <w:rPr>
          <w:color w:val="000000"/>
        </w:rPr>
        <w:t>    </w:t>
      </w:r>
    </w:p>
    <w:p>
      <w:pPr>
        <w:pStyle w:val="TextBody"/>
        <w:bidi w:val="0"/>
        <w:spacing w:lineRule="auto" w:line="288" w:before="0" w:after="240"/>
        <w:ind w:left="0" w:right="0" w:hanging="3600"/>
        <w:jc w:val="both"/>
        <w:rPr/>
      </w:pPr>
      <w:r>
        <w:rPr>
          <w:rFonts w:ascii="Times New Roman;serif" w:hAnsi="Times New Roman;serif"/>
          <w:b/>
          <w:color w:val="000000"/>
          <w:sz w:val="22"/>
        </w:rPr>
        <w:t>Settlement</w:t>
      </w:r>
      <w:r>
        <w:rPr>
          <w:rFonts w:ascii="Times New Roman;serif" w:hAnsi="Times New Roman;serif"/>
          <w:b w:val="false"/>
          <w:color w:val="000000"/>
          <w:sz w:val="22"/>
        </w:rPr>
        <w:t>:    Any RSUs that become vested pursuant to the Vesting Schedule will be settled in accordance with Section 3 of the RSU Agreement.</w:t>
      </w:r>
    </w:p>
    <w:p>
      <w:pPr>
        <w:pStyle w:val="TextBody"/>
        <w:bidi w:val="0"/>
        <w:spacing w:before="0" w:after="0"/>
        <w:jc w:val="left"/>
        <w:rPr/>
      </w:pPr>
      <w:r>
        <w:rPr/>
      </w:r>
    </w:p>
    <w:p>
      <w:pPr>
        <w:pStyle w:val="TextBody"/>
        <w:bidi w:val="0"/>
        <w:spacing w:before="0" w:after="240"/>
        <w:ind w:left="0" w:right="0" w:hanging="3600"/>
        <w:jc w:val="both"/>
        <w:rPr/>
      </w:pPr>
      <w:r>
        <w:rPr/>
      </w:r>
    </w:p>
    <w:p>
      <w:pPr>
        <w:pStyle w:val="TextBody"/>
        <w:bidi w:val="0"/>
        <w:spacing w:lineRule="auto" w:line="288" w:before="0" w:after="240"/>
        <w:ind w:left="0" w:right="0" w:hanging="3600"/>
        <w:jc w:val="left"/>
        <w:rPr>
          <w:color w:val="000000"/>
        </w:rPr>
      </w:pPr>
      <w:r>
        <w:rPr>
          <w:color w:val="000000"/>
        </w:rPr>
        <w:t>    </w:t>
      </w: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THE UNDERSIGNED PARTICIPANT ACKNOWLEDGES RECEIPT OF THIS RSU GRANT NOTICE, THE RSU AGREEMENT AND THE PLAN, AND, AS AN EXPRESS CONDITION TO THE GRANT OF RSUS HEREUNDER, AGREES TO BE BOUND BY THE TERMS OF THIS RSU GRANT NOTICE, THE RSU AGREEMENT AND THE PLAN.</w:t>
      </w:r>
      <w:r>
        <w:rPr>
          <w:color w:val="000000"/>
          <w:u w:val="single"/>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MEDLINE INC.                PARTICIPANT</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        ________________________________</w:t>
        <w:br/>
        <w:t xml:space="preserve">By: </w:t>
        <w:br/>
        <w:t xml:space="preserve">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RESTRICTED STOCK UNIT AGREEMENT</w:t>
        <w:br/>
        <w:t>UNDER THE</w:t>
        <w:br/>
        <w:t>MEDLINE INC.</w:t>
        <w:br/>
        <w:t>2025 OMNIBUS INCENTIVE PLAN</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Pursuant to the Restricted Stock Unit Grant Notice (the “</w:t>
      </w:r>
      <w:r>
        <w:rPr>
          <w:rFonts w:ascii="Times New Roman;serif" w:hAnsi="Times New Roman;serif"/>
          <w:b w:val="false"/>
          <w:color w:val="000000"/>
          <w:sz w:val="22"/>
          <w:u w:val="single"/>
        </w:rPr>
        <w:t>RSU Grant Notice</w:t>
      </w:r>
      <w:r>
        <w:rPr>
          <w:color w:val="000000"/>
        </w:rPr>
        <w:t>”</w:t>
      </w:r>
      <w:r>
        <w:rPr>
          <w:rFonts w:ascii="Times New Roman;serif" w:hAnsi="Times New Roman;serif"/>
          <w:b w:val="false"/>
          <w:color w:val="000000"/>
          <w:sz w:val="22"/>
        </w:rPr>
        <w:t>) delivered to the Participant, and subject to the terms and conditions of this RSU Agreement and the Medline Inc. 2025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Medline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88"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Grant of RSUs</w:t>
      </w:r>
      <w:r>
        <w:rPr>
          <w:rFonts w:ascii="Times New Roman;serif" w:hAnsi="Times New Roman;serif"/>
          <w:b w:val="false"/>
          <w:color w:val="000000"/>
          <w:sz w:val="22"/>
        </w:rPr>
        <w:t xml:space="preserve">. Subject to the terms and conditions set forth herein and in the Plan, the Company hereby grants to the Participant the number of RSUs provided in the RSU Grant Notice (with each RSU representing an unfunded, unsecured right to receive one share of Common Stock upon the vesting of such RSU). The Company may make one or more additional grants of RSUs to the Participant under this RSU Agreement by providing the Participant with a new RSU Grant Notice, which may also include any terms and conditions differing from this RSU Agreement to the extent provided therein. The Company reserves all rights with respect to the granting of additional RSUs hereunder and makes no implied promise to grant additional RSUs. </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Vesting</w:t>
      </w:r>
      <w:r>
        <w:rPr>
          <w:rFonts w:ascii="Times New Roman;serif" w:hAnsi="Times New Roman;serif"/>
          <w:b w:val="false"/>
          <w:color w:val="000000"/>
          <w:sz w:val="22"/>
        </w:rPr>
        <w:t>. Subject to the terms and conditions contained herein and in the Plan, the RSUs shall vest and the restrictions on the RSUs shall lapse as set forth in the RSU Grant Notice. With respect to any RSU, the period of time that such RSU remains subject to vesting shall be its “Restricted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Settlement of RSUs</w:t>
      </w:r>
      <w:r>
        <w:rPr>
          <w:rFonts w:ascii="Times New Roman;serif" w:hAnsi="Times New Roman;serif"/>
          <w:b w:val="false"/>
          <w:color w:val="000000"/>
          <w:sz w:val="22"/>
        </w:rPr>
        <w:t xml:space="preserve">. Subject to the proviso in Section 9(d)(ii) of the Plan, within 75 days following the date on which the Restricted Period lapses with respect to an RSU, the Company shall issue to the Participant or the Participant’s beneficiary, without charge, one share of Common Stock (or other securities or other property, as applicable) for each such outstanding RSU. </w:t>
      </w:r>
    </w:p>
    <w:p>
      <w:pPr>
        <w:pStyle w:val="TextBody"/>
        <w:bidi w:val="0"/>
        <w:spacing w:lineRule="auto" w:line="288"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Treatment of RSUs Upon Termination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10000"/>
          <w:sz w:val="22"/>
        </w:rPr>
        <w:t>(a)</w:t>
      </w:r>
      <w:r>
        <w:rPr>
          <w:rFonts w:ascii="Times New Roman;serif" w:hAnsi="Times New Roman;serif"/>
          <w:b w:val="false"/>
          <w:color w:val="000000"/>
          <w:sz w:val="22"/>
        </w:rPr>
        <w:t>Unless otherwise determined by the Committee: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in the event of the Participant’s Termination due to death or Disability, all then-outstanding RSUs (or substitute equity or consideration of purchase or its Affiliates, as applicable) shall vest upon the Participant’s Termination and shall be settled as set forth in Section 3 of the RSU Agreement;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in the event of the Participant’s Termination for any reason other than as set forth in Section 4(a)(i), all vesting with respect to the RSUs shall cease and all unvested RSUs shall be forfeited to the Company by the Participant for no consideration (and without any further action by the Company) as of the date of such Termination. </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(b)In the event of (i) the Participant’s Termination by the Company for Cause, or (ii) the Participant’s voluntary resignation when grounds for Cause exist, unvested RSUs and all vested RSUs that have not been settled in shares of Common Stock pursuant to Section 3 of this RSU Agreement shall be forfeited to the Company by the Participant for no consideration (and without any further action by the Company) as of the date of such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Company; Participant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10000"/>
          <w:sz w:val="22"/>
        </w:rPr>
        <w:t>(a)</w:t>
      </w:r>
      <w:r>
        <w:rPr>
          <w:rFonts w:ascii="Times New Roman;serif" w:hAnsi="Times New Roman;serif"/>
          <w:b w:val="false"/>
          <w:color w:val="000000"/>
          <w:sz w:val="22"/>
        </w:rPr>
        <w:t xml:space="preserve">The term “Company” as used in this RSU Agreement with reference to employment or service shall include the Board, the Company and its Subsidiaries. </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Whenever the word “Participant” is used in any provision of this RSU Agreement under circumstances where the provision should logically be construed to apply to the executors, the administrators, or the person or persons to whom the RSUs may be transferred by will or by the laws of descent and distribution, the word “Participant” shall be deemed to include such person or persons. </w:t>
      </w:r>
    </w:p>
    <w:p>
      <w:pPr>
        <w:pStyle w:val="TextBody"/>
        <w:bidi w:val="0"/>
        <w:spacing w:lineRule="auto" w:line="288"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Non-Transferability</w:t>
      </w:r>
      <w:r>
        <w:rPr>
          <w:rFonts w:ascii="Times New Roman;serif" w:hAnsi="Times New Roman;serif"/>
          <w:b w:val="false"/>
          <w:color w:val="000000"/>
          <w:sz w:val="22"/>
        </w:rPr>
        <w:t>. The RSUs are not transferable by the Participant except to Permitted Transferees in accordance with Section 14(b) of the Plan. Except as otherwise provided herein, no assignment or transfer of the RSUs, or of the rights represented thereby, whether voluntary or involuntary, by operation of law or otherwise, shall vest in the assignee or transferee any interest or right herein whatsoever, but immediately upon such assignment or transfer the RSUs shall terminate and become of no further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The Participant or a Permitted Transferee of the RSUs shall have no rights as a stockholder with respect to any share of Common Stock underlying an RSU unless and until the Participant shall have become the holder of record or the beneficial owner of such shares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Dividend Equivalents</w:t>
      </w:r>
      <w:r>
        <w:rPr>
          <w:rFonts w:ascii="Times New Roman;serif" w:hAnsi="Times New Roman;serif"/>
          <w:b w:val="false"/>
          <w:color w:val="000000"/>
          <w:sz w:val="22"/>
        </w:rPr>
        <w:t xml:space="preserve">. The RSUs shall be entitled to be credited with dividend equivalent payments (upon the payment by the Company of dividends on shares of Common Stock), which shall accrue in cash without interest and shall be delivered in cash. Accumulated dividend equivalents shall be payable at such time as the underlying RSUs to which such dividend equivalents relate are settled in accordance with Section 3 of this RSU Agreement. For the avoidance of doubt, dividend equivalents accrued in respect of RSUs shall only be paid to the extent the underlying RSU vests and is settled. To the extent that any RSUs are forfeited and not vested and settled, the Participant shall have no right to dividend equivalent payments in respect of such forfeited and unvested RSUs. </w:t>
      </w:r>
    </w:p>
    <w:p>
      <w:pPr>
        <w:pStyle w:val="TextBody"/>
        <w:bidi w:val="0"/>
        <w:spacing w:lineRule="auto" w:line="288" w:before="0" w:after="24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The provisions of Section 14(d) of the Plan are incorporated herein by reference and made a part hereof. The Participant acknowledges and agrees that to the extent consistent with applicable law and the Participant’s status as an independent consultant for U.S. federal income tax purposes, the Company does not intend to withhold any amounts as federal income tax withholdings under any other state or federal laws, and the Participant hereby agrees to make adequate provision for any sums required to satisfy all applicable federal, state, local and foreign tax withholding obligations of the Company which may arise in connection with the grant of RSUs.</w:t>
      </w:r>
    </w:p>
    <w:p>
      <w:pPr>
        <w:pStyle w:val="TextBody"/>
        <w:bidi w:val="0"/>
        <w:spacing w:lineRule="auto" w:line="288" w:before="0" w:after="24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Notice</w:t>
      </w:r>
      <w:r>
        <w:rPr>
          <w:rFonts w:ascii="Times New Roman;serif" w:hAnsi="Times New Roman;serif"/>
          <w:b w:val="false"/>
          <w:color w:val="000000"/>
          <w:sz w:val="22"/>
        </w:rPr>
        <w:t xml:space="preserve">. Every notice or other communication relating to this RSU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Corporate Secretary, and all notices or communications by the Company to the Participant may be given to the Participant personally or may be mailed to the Participant at the Participant’s last known address reflected in the Company’s records. Notwithstanding the above, all notices and communications between the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60655"/>
                <wp:effectExtent l="0" t="0" r="0" b="0"/>
                <wp:wrapNone/>
                <wp:docPr id="203" name="Frame2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88" w:before="0" w:after="24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 Right to Continued Service</w:t>
      </w:r>
      <w:r>
        <w:rPr>
          <w:rFonts w:ascii="Times New Roman;serif" w:hAnsi="Times New Roman;serif"/>
          <w:b w:val="false"/>
          <w:color w:val="000000"/>
          <w:sz w:val="22"/>
        </w:rPr>
        <w:t xml:space="preserve">. This RSU Agreement does not confer upon the Participant any right to continue as a director or other service provider to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RSU Agreement shall be binding upon the heirs, executors, administrators and successors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Waiver and Amendments</w:t>
      </w:r>
      <w:r>
        <w:rPr>
          <w:rFonts w:ascii="Times New Roman;serif" w:hAnsi="Times New Roman;serif"/>
          <w:b w:val="false"/>
          <w:color w:val="000000"/>
          <w:sz w:val="22"/>
        </w:rPr>
        <w:t xml:space="preserve">. Except as otherwise set forth in Section 13 of the Plan, any waiver, alteration, amendment or modification of any of the terms of this RSU Agreement shall be valid only if made in writing and signed by the parties 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Clawback/Forfeiture</w:t>
      </w:r>
      <w:r>
        <w:rPr>
          <w:rFonts w:ascii="Times New Roman;serif" w:hAnsi="Times New Roman;serif"/>
          <w:b w:val="false"/>
          <w:color w:val="000000"/>
          <w:sz w:val="22"/>
        </w:rPr>
        <w:t>. In the event of the Participant’s Termination by the Company or its Affiliates for Cause, or if the Company discovers within one year after a Termination that grounds for a Termination for Cause existed at the time of such Termination then, in each case, the Participant shall be required, in addition to any other remedy available (on a non-exclusive basis), to pay to the Company, within 10 business days after the Company’s request to the Participant therefor, an amount equal to the aggregate after-tax proceeds (taking into account all amounts of tax that would be recoverable upon a claim of loss for payment of such proceeds in the year of repayment) that the Participant received upon the sale or other disposition of, or distributions in respect of, the RSUs issued hereunder (including any shares of Common Stock issued upon settlement of any such RSU). Any reference in this RSU Agreement to grounds existing for a Termination for Cause shall be determined without regard to any notice period, cure period, or other procedural delay or event required prior to a finding of, or Termination for, Cause.</w:t>
      </w:r>
    </w:p>
    <w:p>
      <w:pPr>
        <w:pStyle w:val="TextBody"/>
        <w:bidi w:val="0"/>
        <w:spacing w:lineRule="auto" w:line="288" w:before="0" w:after="24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RSU Agreement shall be construed and interpreted in accordance with the laws of the State of Delaware, without regard to the principles of conflicts of law thereof. Notwithstanding anything contained in this RSU Agreement, the RSU Grant Notice or the Plan to the contrary, if any suit or claim is instituted by the Participant or the Company relating to this RSU Agreement, the RSU Grant Notice or the Plan, the Participant hereby submits to the exclusive jurisdiction of and venue in the courts of Delaware.</w:t>
      </w:r>
    </w:p>
    <w:p>
      <w:pPr>
        <w:pStyle w:val="TextBody"/>
        <w:bidi w:val="0"/>
        <w:spacing w:lineRule="auto" w:line="288" w:before="0" w:after="24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 It is intended that the RSUs granted hereunder shall be exempt from Section 409A of the Code pursuant to the “short-term deferral” rule applicable to such section, as set forth in the regulations or other guidance published by the Internal Revenue Service thereunder, and shall be interpreted consistent with such intent.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RSU Agreement (including the RSU Grant Notice), the Plan shall govern and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xml:space="preserve">. The Company reserves the right to impose other requirements on the Participant’s participation in the Plan, on the RSUs and on any shares of Common Stock acquired under the Plan, to the extent the Company determines it is necessary or advisable for legal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60655"/>
                <wp:effectExtent l="0" t="0" r="0" b="0"/>
                <wp:wrapNone/>
                <wp:docPr id="204" name="Frame2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administrative reasons, and to require the Participant to sign any additional agreements or undertakings that may be necessary to accomplish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RSU Agreement (including, without limitation, all exhibits and appendices attached hereto), the RSU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10.41</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60655"/>
                <wp:effectExtent l="0" t="0" r="0" b="0"/>
                <wp:wrapNone/>
                <wp:docPr id="205" name="Frame2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 STOCK UNIT GRANT NOTICE</w:t>
        <w:br/>
        <w:t>UNDER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MEDLINE INC. </w:t>
        <w:br/>
        <w:t>2025 OMNIBUS INCENTIVE PLAN</w:t>
      </w:r>
    </w:p>
    <w:p>
      <w:pPr>
        <w:pStyle w:val="TextBody"/>
        <w:bidi w:val="0"/>
        <w:spacing w:lineRule="auto" w:line="288" w:before="0" w:after="0"/>
        <w:jc w:val="center"/>
        <w:rPr/>
      </w:pPr>
      <w:r>
        <w:rPr>
          <w:rFonts w:ascii="Times New Roman;serif" w:hAnsi="Times New Roman;serif"/>
          <w:b/>
          <w:color w:val="000000"/>
          <w:sz w:val="22"/>
        </w:rPr>
        <w:t>(PSU Grant – Employees)</w:t>
      </w:r>
      <w:r>
        <w:rPr>
          <w:color w:val="000000"/>
        </w:rPr>
        <w:t xml:space="preserve"> </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Medline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the Medline Inc. 2025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the number of performance-based Restricted Stock Units (“</w:t>
      </w:r>
      <w:r>
        <w:rPr>
          <w:rFonts w:ascii="Times New Roman;serif" w:hAnsi="Times New Roman;serif"/>
          <w:b w:val="false"/>
          <w:color w:val="000000"/>
          <w:sz w:val="22"/>
          <w:u w:val="single"/>
        </w:rPr>
        <w:t>PSUs</w:t>
      </w:r>
      <w:r>
        <w:rPr>
          <w:color w:val="000000"/>
        </w:rPr>
        <w:t>”</w:t>
      </w:r>
      <w:r>
        <w:rPr>
          <w:rFonts w:ascii="Times New Roman;serif" w:hAnsi="Times New Roman;serif"/>
          <w:b w:val="false"/>
          <w:color w:val="000000"/>
          <w:sz w:val="22"/>
        </w:rPr>
        <w:t>) equal to the “Maximum Number of PSUs” set forth below in this Grant Notice (the “</w:t>
      </w:r>
      <w:r>
        <w:rPr>
          <w:rFonts w:ascii="Times New Roman;serif" w:hAnsi="Times New Roman;serif"/>
          <w:b w:val="false"/>
          <w:color w:val="000000"/>
          <w:sz w:val="22"/>
          <w:u w:val="single"/>
        </w:rPr>
        <w:t>PSU Grant Notice</w:t>
      </w:r>
      <w:r>
        <w:rPr>
          <w:color w:val="000000"/>
        </w:rPr>
        <w:t>”</w:t>
      </w:r>
      <w:r>
        <w:rPr>
          <w:rFonts w:ascii="Times New Roman;serif" w:hAnsi="Times New Roman;serif"/>
          <w:b w:val="false"/>
          <w:color w:val="000000"/>
          <w:sz w:val="22"/>
        </w:rPr>
        <w:t>). The PSUs are subject to all of the terms and conditions as set forth herein, in the Performance Stock Unit Agreement (attached hereto) (the “</w:t>
      </w:r>
      <w:r>
        <w:rPr>
          <w:rFonts w:ascii="Times New Roman;serif" w:hAnsi="Times New Roman;serif"/>
          <w:b w:val="false"/>
          <w:color w:val="000000"/>
          <w:sz w:val="22"/>
          <w:u w:val="single"/>
        </w:rPr>
        <w:t>PSU Agreement</w:t>
      </w:r>
      <w:r>
        <w:rPr>
          <w:color w:val="000000"/>
        </w:rPr>
        <w:t>”</w:t>
      </w:r>
      <w:r>
        <w:rPr>
          <w:rFonts w:ascii="Times New Roman;serif" w:hAnsi="Times New Roman;serif"/>
          <w:b w:val="false"/>
          <w:color w:val="000000"/>
          <w:sz w:val="22"/>
        </w:rPr>
        <w:t xml:space="preserve">),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 and in the Plan, all of which are incorporated herein in their entirety. Capitalized terms not otherwise defined herein shall have the meaning set forth in the Plan.</w:t>
      </w:r>
    </w:p>
    <w:p>
      <w:pPr>
        <w:pStyle w:val="TextBody"/>
        <w:bidi w:val="0"/>
        <w:spacing w:lineRule="auto" w:line="288" w:before="0" w:after="240"/>
        <w:ind w:left="0" w:right="0" w:hanging="3600"/>
        <w:jc w:val="both"/>
        <w:rPr/>
      </w:pPr>
      <w:r>
        <w:rPr>
          <w:rFonts w:ascii="Times New Roman;serif" w:hAnsi="Times New Roman;serif"/>
          <w:b/>
          <w:color w:val="000000"/>
          <w:sz w:val="22"/>
        </w:rPr>
        <w:t>Participant</w:t>
      </w:r>
      <w:r>
        <w:rPr>
          <w:rFonts w:ascii="Times New Roman;serif" w:hAnsi="Times New Roman;serif"/>
          <w:b w:val="false"/>
          <w:color w:val="000000"/>
          <w:sz w:val="22"/>
        </w:rPr>
        <w:t>:    </w:t>
      </w:r>
    </w:p>
    <w:p>
      <w:pPr>
        <w:pStyle w:val="TextBody"/>
        <w:bidi w:val="0"/>
        <w:spacing w:lineRule="auto" w:line="288" w:before="0" w:after="240"/>
        <w:ind w:left="0" w:right="0" w:hanging="3600"/>
        <w:jc w:val="both"/>
        <w:rPr/>
      </w:pPr>
      <w:r>
        <w:rPr>
          <w:rFonts w:ascii="Times New Roman;serif" w:hAnsi="Times New Roman;serif"/>
          <w:b/>
          <w:color w:val="000000"/>
          <w:sz w:val="22"/>
        </w:rPr>
        <w:t>Date of Grant</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Vesting Commencement Date</w:t>
      </w:r>
      <w:r>
        <w:rPr>
          <w:rFonts w:ascii="Times New Roman;serif" w:hAnsi="Times New Roman;serif"/>
          <w:b w:val="false"/>
          <w:color w:val="000000"/>
          <w:sz w:val="22"/>
        </w:rPr>
        <w:t>:    </w:t>
      </w:r>
    </w:p>
    <w:p>
      <w:pPr>
        <w:pStyle w:val="TextBody"/>
        <w:bidi w:val="0"/>
        <w:spacing w:lineRule="auto" w:line="288" w:before="0" w:after="0"/>
        <w:ind w:left="0" w:right="0" w:hanging="3600"/>
        <w:jc w:val="both"/>
        <w:rPr/>
      </w:pPr>
      <w:r>
        <w:rPr>
          <w:rFonts w:ascii="Times New Roman;serif" w:hAnsi="Times New Roman;serif"/>
          <w:b/>
          <w:color w:val="000000"/>
          <w:sz w:val="22"/>
        </w:rPr>
        <w:t>Performance Period</w:t>
      </w:r>
      <w:r>
        <w:rPr>
          <w:rFonts w:ascii="Times New Roman;serif" w:hAnsi="Times New Roman;serif"/>
          <w:b w:val="false"/>
          <w:color w:val="000000"/>
          <w:sz w:val="22"/>
        </w:rPr>
        <w:t>:    </w:t>
      </w:r>
    </w:p>
    <w:p>
      <w:pPr>
        <w:pStyle w:val="TextBody"/>
        <w:bidi w:val="0"/>
        <w:spacing w:before="0" w:after="0"/>
        <w:ind w:left="0" w:right="0" w:hanging="3600"/>
        <w:jc w:val="both"/>
        <w:rPr/>
      </w:pPr>
      <w:r>
        <w:rPr/>
      </w:r>
    </w:p>
    <w:p>
      <w:pPr>
        <w:pStyle w:val="TextBody"/>
        <w:bidi w:val="0"/>
        <w:spacing w:lineRule="auto" w:line="288" w:before="0" w:after="0"/>
        <w:ind w:left="0" w:right="0" w:hanging="3600"/>
        <w:jc w:val="both"/>
        <w:rPr/>
      </w:pPr>
      <w:r>
        <w:rPr>
          <w:rFonts w:ascii="Times New Roman;serif" w:hAnsi="Times New Roman;serif"/>
          <w:b/>
          <w:color w:val="000000"/>
          <w:sz w:val="22"/>
        </w:rPr>
        <w:t>Target Number of PSUs</w:t>
      </w:r>
      <w:r>
        <w:rPr>
          <w:rFonts w:ascii="Times New Roman;serif" w:hAnsi="Times New Roman;serif"/>
          <w:b w:val="false"/>
          <w:color w:val="000000"/>
          <w:sz w:val="22"/>
        </w:rPr>
        <w:t>:     </w:t>
      </w:r>
    </w:p>
    <w:p>
      <w:pPr>
        <w:pStyle w:val="TextBody"/>
        <w:bidi w:val="0"/>
        <w:spacing w:before="0" w:after="0"/>
        <w:ind w:left="0" w:right="0" w:hanging="3600"/>
        <w:jc w:val="both"/>
        <w:rPr/>
      </w:pPr>
      <w:r>
        <w:rPr/>
      </w:r>
    </w:p>
    <w:p>
      <w:pPr>
        <w:pStyle w:val="TextBody"/>
        <w:bidi w:val="0"/>
        <w:spacing w:lineRule="auto" w:line="288" w:before="0" w:after="0"/>
        <w:ind w:left="0" w:right="0" w:hanging="3600"/>
        <w:jc w:val="both"/>
        <w:rPr/>
      </w:pPr>
      <w:r>
        <w:rPr>
          <w:rFonts w:ascii="Times New Roman;serif" w:hAnsi="Times New Roman;serif"/>
          <w:b/>
          <w:color w:val="000000"/>
          <w:sz w:val="22"/>
        </w:rPr>
        <w:t>Maximum Number of PSUs</w:t>
      </w:r>
      <w:r>
        <w:rPr>
          <w:rFonts w:ascii="Times New Roman;serif" w:hAnsi="Times New Roman;serif"/>
          <w:b w:val="false"/>
          <w:color w:val="000000"/>
          <w:sz w:val="22"/>
        </w:rPr>
        <w:t>:     </w:t>
      </w:r>
    </w:p>
    <w:p>
      <w:pPr>
        <w:pStyle w:val="TextBody"/>
        <w:bidi w:val="0"/>
        <w:spacing w:before="0" w:after="0"/>
        <w:ind w:left="0" w:right="0" w:hanging="3600"/>
        <w:jc w:val="both"/>
        <w:rPr/>
      </w:pPr>
      <w:r>
        <w:rPr/>
      </w:r>
    </w:p>
    <w:p>
      <w:pPr>
        <w:pStyle w:val="TextBody"/>
        <w:bidi w:val="0"/>
        <w:spacing w:lineRule="auto" w:line="288" w:before="0" w:after="240"/>
        <w:ind w:left="0" w:right="0" w:hanging="3600"/>
        <w:jc w:val="both"/>
        <w:rPr/>
      </w:pPr>
      <w:r>
        <w:rPr>
          <w:rFonts w:ascii="Times New Roman;serif" w:hAnsi="Times New Roman;serif"/>
          <w:b/>
          <w:color w:val="000000"/>
          <w:sz w:val="22"/>
        </w:rPr>
        <w:t>Vesting Schedule</w:t>
      </w:r>
      <w:r>
        <w:rPr>
          <w:rFonts w:ascii="Times New Roman;serif" w:hAnsi="Times New Roman;serif"/>
          <w:b w:val="false"/>
          <w:color w:val="000000"/>
          <w:sz w:val="22"/>
        </w:rPr>
        <w:t xml:space="preserve">:    The PSUs shall vest in accordance with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w:t>
      </w:r>
    </w:p>
    <w:p>
      <w:pPr>
        <w:pStyle w:val="TextBody"/>
        <w:bidi w:val="0"/>
        <w:spacing w:lineRule="auto" w:line="288" w:before="0" w:after="240"/>
        <w:ind w:left="0" w:right="0" w:hanging="3600"/>
        <w:jc w:val="both"/>
        <w:rPr/>
      </w:pPr>
      <w:r>
        <w:rPr>
          <w:rFonts w:ascii="Times New Roman;serif" w:hAnsi="Times New Roman;serif"/>
          <w:b/>
          <w:color w:val="000000"/>
          <w:sz w:val="22"/>
        </w:rPr>
        <w:t>Dividend Equivalents</w:t>
      </w:r>
      <w:r>
        <w:rPr>
          <w:rFonts w:ascii="Times New Roman;serif" w:hAnsi="Times New Roman;serif"/>
          <w:b w:val="false"/>
          <w:color w:val="000000"/>
          <w:sz w:val="22"/>
        </w:rPr>
        <w:t>:    The PSUs shall be credited with dividend equivalent payments, as provided in Section 14(c)(iii) of the Plan.</w:t>
      </w:r>
    </w:p>
    <w:p>
      <w:pPr>
        <w:pStyle w:val="TextBody"/>
        <w:bidi w:val="0"/>
        <w:spacing w:before="0" w:after="240"/>
        <w:ind w:left="0" w:right="0" w:hanging="3600"/>
        <w:jc w:val="both"/>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THE UNDERSIGNED PARTICIPANT ACKNOWLEDGES RECEIPT OF THIS PSU GRANT NOTICE, THE PSU AGREEMENT AND THE PLAN, AND, AS AN EXPRESS CONDITION TO THE GRANT OF PSUS HEREUNDER, AGREES TO BE BOUND BY THE TERMS OF THIS PSU GRANT NOTICE, THE PSU AGREEMENT AND THE PLAN.</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MEDLINE INC.                    PARTICIPANT</w:t>
      </w:r>
    </w:p>
    <w:p>
      <w:pPr>
        <w:pStyle w:val="TextBody"/>
        <w:bidi w:val="0"/>
        <w:spacing w:before="0" w:after="240"/>
        <w:jc w:val="left"/>
        <w:rPr/>
      </w:pPr>
      <w:r>
        <w:rPr/>
      </w:r>
    </w:p>
    <w:p>
      <w:pPr>
        <w:pStyle w:val="TextBody"/>
        <w:bidi w:val="0"/>
        <w:spacing w:lineRule="auto" w:line="288" w:before="0" w:after="240"/>
        <w:jc w:val="both"/>
        <w:rPr/>
      </w:pPr>
      <w:r>
        <w:rPr>
          <w:color w:val="000000"/>
          <w:u w:val="single"/>
        </w:rPr>
        <w:t>                    </w:t>
      </w:r>
      <w:r>
        <w:rPr>
          <w:color w:val="000000"/>
        </w:rPr>
        <w:t>        </w:t>
      </w:r>
      <w:r>
        <w:rPr>
          <w:color w:val="000000"/>
          <w:u w:val="single"/>
        </w:rPr>
        <w: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w:t>
        <w:br/>
        <w:t>Title:</w:t>
      </w:r>
    </w:p>
    <w:p>
      <w:pPr>
        <w:pStyle w:val="TextBody"/>
        <w:bidi w:val="0"/>
        <w:spacing w:before="0" w:after="240"/>
        <w:jc w:val="both"/>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PERFORMANCE STOCK UNIT AGREEMENT</w:t>
        <w:br/>
        <w:t>UNDER THE</w:t>
        <w:br/>
        <w:t>MEDLINE INC.</w:t>
        <w:br/>
        <w:t>2025 OMNIBUS INCENTIVE PLAN</w:t>
      </w:r>
    </w:p>
    <w:p>
      <w:pPr>
        <w:pStyle w:val="TextBody"/>
        <w:bidi w:val="0"/>
        <w:spacing w:lineRule="auto" w:line="288" w:before="0" w:after="240"/>
        <w:ind w:left="0" w:right="0" w:firstLine="1440"/>
        <w:jc w:val="both"/>
        <w:rPr/>
      </w:pPr>
      <w:r>
        <w:rPr>
          <w:rFonts w:ascii="Times New Roman;serif" w:hAnsi="Times New Roman;serif"/>
          <w:b w:val="false"/>
          <w:color w:val="000000"/>
          <w:sz w:val="22"/>
        </w:rPr>
        <w:t>Pursuant to the Performance Stock Unit Grant Notice (the “</w:t>
      </w:r>
      <w:r>
        <w:rPr>
          <w:rFonts w:ascii="Times New Roman;serif" w:hAnsi="Times New Roman;serif"/>
          <w:b w:val="false"/>
          <w:color w:val="000000"/>
          <w:sz w:val="22"/>
          <w:u w:val="single"/>
        </w:rPr>
        <w:t>PSU Grant Notice</w:t>
      </w:r>
      <w:r>
        <w:rPr>
          <w:color w:val="000000"/>
        </w:rPr>
        <w:t>”</w:t>
      </w:r>
      <w:r>
        <w:rPr>
          <w:rFonts w:ascii="Times New Roman;serif" w:hAnsi="Times New Roman;serif"/>
          <w:b w:val="false"/>
          <w:color w:val="000000"/>
          <w:sz w:val="22"/>
        </w:rPr>
        <w:t>) delivered to the Participant, and subject to the terms and conditions of this PSU Agreement and the Medline Inc. 2025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Medline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Grant of PSUs</w:t>
      </w:r>
      <w:r>
        <w:rPr>
          <w:rFonts w:ascii="Times New Roman;serif" w:hAnsi="Times New Roman;serif"/>
          <w:b w:val="false"/>
          <w:color w:val="000000"/>
          <w:sz w:val="22"/>
        </w:rPr>
        <w:t xml:space="preserve">. Subject to the terms and conditions set forth herein and in the Plan, the Company hereby grants to the Participant the number of PSUs equal to the “Maximum Number of PSUs” provided in the PSU Grant Notice (with each PSU representing an unfunded, unsecured right to receive one share of Common Stock upon the vesting of such PSU). The Company may make one or more additional grants of PSUs to the Participant under this PSU Agreement by providing the Participant with a new PSU Grant Notice, which may also include any terms and conditions differing from this PSU Agreement to the extent provided therein. The Company reserves all rights with respect to the granting of additional PSUs hereunder and makes no implied promise to grant additional PSUs.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Vesting</w:t>
      </w:r>
      <w:r>
        <w:rPr>
          <w:rFonts w:ascii="Times New Roman;serif" w:hAnsi="Times New Roman;serif"/>
          <w:b w:val="false"/>
          <w:color w:val="000000"/>
          <w:sz w:val="22"/>
        </w:rPr>
        <w:t xml:space="preserve">. Subject to the terms and conditions contained herein and in the Plan, the PSUs shall vest as provided in the PSU Grant Notice and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attached hereto. </w:t>
      </w:r>
    </w:p>
    <w:p>
      <w:pPr>
        <w:pStyle w:val="TextBody"/>
        <w:bidi w:val="0"/>
        <w:spacing w:lineRule="auto" w:line="288" w:before="0" w:after="24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Settlement of PSUs</w:t>
      </w:r>
      <w:r>
        <w:rPr>
          <w:rFonts w:ascii="Times New Roman;serif" w:hAnsi="Times New Roman;serif"/>
          <w:b w:val="false"/>
          <w:color w:val="000000"/>
          <w:sz w:val="22"/>
        </w:rPr>
        <w:t xml:space="preserve">. Subject to any election by the Committee pursuant to Section 9(d)(ii) of the Plan and subject to Section 17 of this PSU Agreement, the Company will deliver to the Participant, without charge, as soon as reasonably practicable (and, in any event, within two and one-half months) following the applicable vesting date, one share of Common Stock for each PSU (as adjusted under the Plan, as applicable) which is earned and becomes vested hereunder and such vested PSU shall be cancelled upon such delivery. The Company shall either (a) cause such shares of Common Stock to be credited to the Participant’s account at the third-party plan administrator or (b) deliver, or cause to be delivered, to the Participant a certificate or certificates therefor, registered in the Participant’s name. Notwithstanding anything in this PSU Agreement to the contrary, the Company shall have no obligation to issue or transfer any shares of Common Stock as contemplated by this PSU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88" w:before="0" w:after="24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Treatment of PSUs Upon Termination</w:t>
      </w:r>
      <w:r>
        <w:rPr>
          <w:rFonts w:ascii="Times New Roman;serif" w:hAnsi="Times New Roman;serif"/>
          <w:b w:val="false"/>
          <w:color w:val="000000"/>
          <w:sz w:val="22"/>
        </w:rPr>
        <w:t xml:space="preserve">. The provisions of Section 9(c)(ii) of the Plan are incorporated herein by reference and made a part hereof, subject to the Vesting Schedule as provided in the PSU Grant Notice and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attached hereto (and for the avoidance for doubt, in the event of any conflict between the PSU Grant Notice and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and Section 9(c)(ii) of the Plan, the provisions of the PSU Grant Notice and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will prevail). </w:t>
      </w:r>
    </w:p>
    <w:p>
      <w:pPr>
        <w:pStyle w:val="TextBody"/>
        <w:bidi w:val="0"/>
        <w:spacing w:lineRule="auto" w:line="288" w:before="0" w:after="24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Company; Participant</w:t>
      </w:r>
      <w:r>
        <w:rPr>
          <w:rFonts w:ascii="Times New Roman;serif" w:hAnsi="Times New Roman;serif"/>
          <w:b w:val="false"/>
          <w:color w:val="000000"/>
          <w:sz w:val="22"/>
        </w:rPr>
        <w:t xml:space="preserve">. </w:t>
      </w:r>
    </w:p>
    <w:p>
      <w:pPr>
        <w:pStyle w:val="TextBody"/>
        <w:bidi w:val="0"/>
        <w:spacing w:lineRule="auto" w:line="288" w:before="0" w:after="240"/>
        <w:ind w:left="0" w:right="0" w:firstLine="1350"/>
        <w:jc w:val="both"/>
        <w:rPr>
          <w:rFonts w:ascii="Times New Roman;serif" w:hAnsi="Times New Roman;serif"/>
          <w:b w:val="false"/>
          <w:color w:val="000000"/>
          <w:sz w:val="22"/>
        </w:rPr>
      </w:pPr>
      <w:r>
        <w:rPr>
          <w:rFonts w:ascii="Times New Roman;serif" w:hAnsi="Times New Roman;serif"/>
          <w:b w:val="false"/>
          <w:color w:val="000000"/>
          <w:sz w:val="22"/>
        </w:rPr>
        <w:t xml:space="preserve">(a)The term “Company” as used in this PSU Agreement with reference to employment shall include the Company and its Subsidiaries.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350"/>
        <w:jc w:val="both"/>
        <w:rPr>
          <w:rFonts w:ascii="Times New Roman;serif" w:hAnsi="Times New Roman;serif"/>
          <w:b w:val="false"/>
          <w:color w:val="000000"/>
          <w:sz w:val="22"/>
        </w:rPr>
      </w:pPr>
      <w:r>
        <w:rPr>
          <w:rFonts w:ascii="Times New Roman;serif" w:hAnsi="Times New Roman;serif"/>
          <w:b w:val="false"/>
          <w:color w:val="000000"/>
          <w:sz w:val="22"/>
        </w:rPr>
        <w:t xml:space="preserve">(b)Whenever the word “Participant” is used in any provision of this PSU Agreement under circumstances where the provision should logically be construed to apply to the executors, the administrators, or the person or persons to whom the PSUs may be transferred by will or by the laws of descent and distribution, the word “Participant” shall be deemed to include such person or persons.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Non-Transferability</w:t>
      </w:r>
      <w:r>
        <w:rPr>
          <w:rFonts w:ascii="Times New Roman;serif" w:hAnsi="Times New Roman;serif"/>
          <w:b w:val="false"/>
          <w:color w:val="000000"/>
          <w:sz w:val="22"/>
        </w:rPr>
        <w:t>. The PSUs are not transferable by the Participant except to Permitted Transferees in accordance with Section 14(b) of the Plan. Except as otherwise provided herein, no assignment or transfer of the PSUs, or of the rights represented thereby, whether voluntary or involuntary, by operation of law or otherwise, shall vest in the assignee or transferee any interest or right herein whatsoever, but immediately upon such assignment or transfer the PSUs shall terminate and become of no further effect.</w:t>
      </w:r>
    </w:p>
    <w:p>
      <w:pPr>
        <w:pStyle w:val="TextBody"/>
        <w:bidi w:val="0"/>
        <w:spacing w:lineRule="auto" w:line="288" w:before="0" w:after="24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xml:space="preserve">. Subject to any dividend equivalent payments to be provided to the Participant in accordance with the PSU Grant Notice and Section 14(c)(iii) of the Plan, the Participant or a Permitted Transferee of the PSUs shall have no rights as a stockholder with respect to any share of Common Stock underlying a PSU unless and until the Participant shall have become the holder of record or the beneficial owner of such shares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88" w:before="0" w:after="24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Dividend Equivalents</w:t>
      </w:r>
      <w:r>
        <w:rPr>
          <w:rFonts w:ascii="Times New Roman;serif" w:hAnsi="Times New Roman;serif"/>
          <w:b w:val="false"/>
          <w:color w:val="000000"/>
          <w:sz w:val="22"/>
        </w:rPr>
        <w:t>. The PSUs shall be entitled to be credited with dividend equivalent payments (upon the payment by the Company of dividends on shares of Common Stock), which shall accrue in cash without interest and shall be delivered in cash. Accumulated dividend equivalents shall be payable at such time as the underlying PSUs to which such dividend equivalents relate are settled in accordance with Section 3 of this PSU Agreement. For the avoidance of doubt, dividend equivalents accrued in respect of PSUs shall only be paid to the extent the underlying PSU vests and is settled. To the extent that any PSUs are forfeited and not vested and settled, the Participant shall have no right to dividend equivalent payments in respect of such forfeited and unvested PSUs.</w:t>
      </w:r>
    </w:p>
    <w:p>
      <w:pPr>
        <w:pStyle w:val="TextBody"/>
        <w:bidi w:val="0"/>
        <w:spacing w:lineRule="auto" w:line="288" w:before="0" w:after="24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The provisions of Section 14(d) of the Plan are incorporated herein by reference and made a part hereof. In addition, the Committee, subject to it having considered the applicable accounting impact of any such determination, has full discretion to allow the Participant to satisfy, in whole or in part, any additional income, employment, national insurance and/or other applicable taxes payable by the Participant with respect to the PSUs by electing to have the Company withhold from the shares of Common Stock otherwise issuable or deliverable to, or that would otherwise be retained by, the Participant upon the grant, vesting or settlement of the PSUs, as applicable, shares of Common Stock having an aggregate Fair Market Value that is greater than the applicable minimum required statutory withholding liability (but such withholding may in no event be in excess of the maximum statutory withholding amount(s) in the Participant’s relevant tax jurisdictions).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Notice</w:t>
      </w:r>
      <w:r>
        <w:rPr>
          <w:rFonts w:ascii="Times New Roman;serif" w:hAnsi="Times New Roman;serif"/>
          <w:b w:val="false"/>
          <w:color w:val="000000"/>
          <w:sz w:val="22"/>
        </w:rPr>
        <w:t xml:space="preserve">. Every notice or other communication relating to this PSU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and until some other address be so designated, all notices or communications by the Participant to the Company shall be mailed or delivered to the Company at its principal executive office, to the attention of the Corporate Secretary, and all notices or communications by the Company to the Participant may be given to the Participant personally or may be mailed to the Participant at the Participant’s last known address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 Right to Continued Service</w:t>
      </w:r>
      <w:r>
        <w:rPr>
          <w:rFonts w:ascii="Times New Roman;serif" w:hAnsi="Times New Roman;serif"/>
          <w:b w:val="false"/>
          <w:color w:val="000000"/>
          <w:sz w:val="22"/>
        </w:rPr>
        <w:t xml:space="preserve">. This PSU Agreement does not confer upon the Participant any right to continue as an employee or service provider to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PSU Agreement shall be binding upon the heirs, executors, administrators and successors of the parties hereto.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Protective Covenants</w:t>
      </w:r>
      <w:r>
        <w:rPr>
          <w:rFonts w:ascii="Times New Roman;serif" w:hAnsi="Times New Roman;serif"/>
          <w:b w:val="false"/>
          <w:color w:val="000000"/>
          <w:sz w:val="22"/>
        </w:rPr>
        <w:t>. The Participant acknowledges and recognizes the highly competitive nature of the businesses of the Company and its Affiliates and accordingly Participant agrees to comply with the restrictions in Section 6 of the Protective Covenants Agreement (Appendix 1) inclusive of the modifications in Appendix A where applicable (the “</w:t>
      </w:r>
      <w:r>
        <w:rPr>
          <w:rFonts w:ascii="Times New Roman;serif" w:hAnsi="Times New Roman;serif"/>
          <w:b w:val="false"/>
          <w:color w:val="000000"/>
          <w:sz w:val="22"/>
          <w:u w:val="single"/>
        </w:rPr>
        <w:t>Protective Covenants</w:t>
      </w:r>
      <w:r>
        <w:rPr>
          <w:color w:val="000000"/>
        </w:rPr>
        <w:t>”</w:t>
      </w:r>
      <w:r>
        <w:rPr>
          <w:rFonts w:ascii="Times New Roman;serif" w:hAnsi="Times New Roman;serif"/>
          <w:b w:val="false"/>
          <w:color w:val="000000"/>
          <w:sz w:val="22"/>
        </w:rPr>
        <w:t>) as a precondition of eligibility to receive and retain the benefits of this PSU Agreement, and acknowledges that if the Participant fails to comply with such restrictions, or the restrictions are deemed void or unenforceable in some respect deemed material by the Company, the Company will have the right to demand and recoup all (or a Company-determined portion) of the benefits of this PSU Agreement in accordance with Section 4 from Participant, unless otherwise prohibited under controlling law. For purposes of this PSU Agreement, “</w:t>
      </w:r>
      <w:r>
        <w:rPr>
          <w:rFonts w:ascii="Times New Roman;serif" w:hAnsi="Times New Roman;serif"/>
          <w:b w:val="false"/>
          <w:color w:val="000000"/>
          <w:sz w:val="22"/>
          <w:u w:val="single"/>
        </w:rPr>
        <w:t>Protective Covenant Violation</w:t>
      </w:r>
      <w:r>
        <w:rPr>
          <w:color w:val="000000"/>
        </w:rPr>
        <w:t xml:space="preserve">” </w:t>
      </w:r>
      <w:r>
        <w:rPr>
          <w:rFonts w:ascii="Times New Roman;serif" w:hAnsi="Times New Roman;serif"/>
          <w:b w:val="false"/>
          <w:color w:val="000000"/>
          <w:sz w:val="22"/>
        </w:rPr>
        <w:t>means the Participant’s breach of any of the Protective Covenants or any similar provision applicable to the Participant.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Waiver and Amendments</w:t>
      </w:r>
      <w:r>
        <w:rPr>
          <w:rFonts w:ascii="Times New Roman;serif" w:hAnsi="Times New Roman;serif"/>
          <w:b w:val="false"/>
          <w:color w:val="000000"/>
          <w:sz w:val="22"/>
        </w:rPr>
        <w:t xml:space="preserve">. Except as otherwise set forth in Section 13 of the Plan, any waiver, alteration, amendment or modification of any of the terms of this PSU Agreement shall be valid only if made in writing and signed by the parties 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Clawback/Forfeiture</w:t>
      </w:r>
      <w:r>
        <w:rPr>
          <w:rFonts w:ascii="Times New Roman;serif" w:hAnsi="Times New Roman;serif"/>
          <w:b w:val="false"/>
          <w:color w:val="000000"/>
          <w:sz w:val="22"/>
        </w:rPr>
        <w:t>. If (a) the Participant’s employment is terminated by the Company or any of its Affiliates, as applicable, for Cause (or if the Participant voluntarily resigns the Participant’s employment with the Company or its applicable Affiliates when grounds for Cause exist), (b) a Protective Covenant Violation occurs, or (c) the Company discovers within one year after a Termination for any reason that grounds for a Termination for Cause existed at the time of such Termination, then, in each case, the Participant shall be required, in addition to any other remedy available (on a non-exclusive basis), to pay to the Company, within 10 business days after the Company’s request to the Participant therefor, an amount equal to the aggregate after-tax proceeds (taking into account all amounts of tax that would be recoverable upon a claim of loss for payment of such proceeds in the year of repayment) that the Participant received upon the sale or other disposition of, or distributions in respect of, the PSUs issued hereunder (including any shares of Common Stock issued upon settlement of any such PSU). In addition, any incentive compensation paid to the Participant in respect of the PSUs is subject to recoupment under any clawback policy in effect (including the Medline Incentive Compensation Clawback Policy), whether pursuant to applicable exchange listing rules or otherwise. Any reference in this PSU Agreement to grounds existing for a Termination for Cause shall be determined without regard to any notice period, cure period, or other procedural delay or event required prior to a finding of, or Termination for, Cause.</w:t>
      </w:r>
    </w:p>
    <w:p>
      <w:pPr>
        <w:pStyle w:val="TextBody"/>
        <w:bidi w:val="0"/>
        <w:spacing w:lineRule="auto" w:line="288" w:before="0" w:after="240"/>
        <w:ind w:left="0" w:right="0" w:firstLine="144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PSU Agreement shall be construed and interpreted in accordance with the laws of the State of Delaware, without regard to the principles of conflicts of law thereof; provided, however, that the Protective Covenants shall be governed by and construed in accordance with the laws of the state in which the Participant primarily resides in accordance with the terms of the Protective Covenants Agreement without regard to the principles of conflicts of laws. Notwithstanding anything contained in this PSU Agreement, the PSU Grant Notice, or the Plan to the contrary, if any suit or claim is instituted by the Participant or the Company relating to this PSU Agreement, the PSU Grant Notice or the Plan, the Participant hereby submits to the exclusive jurisdiction of and venue in the courts of Delaware as concerns any claim that can be pursued in a court of law arising from this PSU Agreement. It is further understood that the Protective Covenants Agreement is independently enforceable as a separate but ancillary contract with its own choice of law, venue and forum selection terms and is not subject to the exclusive choice of courts located in Delaware.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 xml:space="preserve">. To the extent that the Participant is subject to U.S. taxation, this PSU Agreement is intended to comply with or be exempt from the provisions of Section 409A of the Code and the regulations promulgated thereunder, and shall be interpreted consistent with such intent. Without limiting the foregoing, the Committee will have the right to amend the terms and conditions of this PSU Agreement in any respect as may be necessary or appropriate to comply with Section 409A of the Code or any regulations promulgated thereunder, including, without limitation, by delaying the issuance of the shares of Common Stock contemplated hereunder. Notwithstanding any other provision of this PSU Agreement to the contrary, if the Participant is a “specified employee” within the meaning of Section 409A of the Code, and is subject to U.S. federal income tax, no payments in respect of any PSU that is “deferred compensation” subject to Section 409A of the Code and which would otherwise be payable upon the Participant’s “separation from service” (as defined in Section 409A of the Code) will be made to the Participant prior to the date that is six months after the date of the Participant’s “separation from service” or, if earlier, the Participant’s date of death. Following any applicable six-month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this PSU Agreement, and the Company will not be liable to any Participant for any payment made under the Plan or this PSU Agreement that is determined to result in an additional tax, penalty or interest under Section 409A of the Code, nor for reporting in good faith any payment made under this PSU Agreement as an amount includible in gross income under Section 409A of the Code.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Appendix for Non-U.S. Participants</w:t>
      </w:r>
      <w:r>
        <w:rPr>
          <w:rFonts w:ascii="Times New Roman;serif" w:hAnsi="Times New Roman;serif"/>
          <w:b w:val="false"/>
          <w:color w:val="000000"/>
          <w:sz w:val="22"/>
        </w:rPr>
        <w:t xml:space="preserve">. If the Participant is residing and/or working principally outside of the United States, the PSUs shall be subject to any special provisions set forth in </w:t>
      </w:r>
      <w:r>
        <w:rPr>
          <w:rFonts w:ascii="Times New Roman;serif" w:hAnsi="Times New Roman;serif"/>
          <w:b w:val="false"/>
          <w:color w:val="000000"/>
          <w:sz w:val="22"/>
          <w:u w:val="single"/>
        </w:rPr>
        <w:t>Appendix 2</w:t>
      </w:r>
      <w:r>
        <w:rPr>
          <w:color w:val="000000"/>
        </w:rPr>
        <w:t xml:space="preserve"> </w:t>
      </w:r>
      <w:r>
        <w:rPr>
          <w:rFonts w:ascii="Times New Roman;serif" w:hAnsi="Times New Roman;serif"/>
          <w:b w:val="false"/>
          <w:color w:val="000000"/>
          <w:sz w:val="22"/>
        </w:rPr>
        <w:t xml:space="preserve">to this PSU Agreement. If the Participant becomes based outside the United States while holding any PSUs, the special provisions set forth in </w:t>
      </w:r>
      <w:r>
        <w:rPr>
          <w:rFonts w:ascii="Times New Roman;serif" w:hAnsi="Times New Roman;serif"/>
          <w:b w:val="false"/>
          <w:color w:val="000000"/>
          <w:sz w:val="22"/>
          <w:u w:val="single"/>
        </w:rPr>
        <w:t>Appendix 2</w:t>
      </w:r>
      <w:r>
        <w:rPr>
          <w:color w:val="000000"/>
        </w:rPr>
        <w:t xml:space="preserve"> </w:t>
      </w:r>
      <w:r>
        <w:rPr>
          <w:rFonts w:ascii="Times New Roman;serif" w:hAnsi="Times New Roman;serif"/>
          <w:b w:val="false"/>
          <w:color w:val="000000"/>
          <w:sz w:val="22"/>
        </w:rPr>
        <w:t xml:space="preserve">shall apply to the Participant to the extent that the Company determines that the application of such provisions is necessary or advisable for legal or administrative reasons. Moreover, if the Participant relocates between any of the countries included on </w:t>
      </w:r>
      <w:r>
        <w:rPr>
          <w:rFonts w:ascii="Times New Roman;serif" w:hAnsi="Times New Roman;serif"/>
          <w:b w:val="false"/>
          <w:color w:val="000000"/>
          <w:sz w:val="22"/>
          <w:u w:val="single"/>
        </w:rPr>
        <w:t>Appendix 1</w:t>
      </w:r>
      <w:r>
        <w:rPr>
          <w:rFonts w:ascii="Times New Roman;serif" w:hAnsi="Times New Roman;serif"/>
          <w:b w:val="false"/>
          <w:color w:val="000000"/>
          <w:sz w:val="22"/>
        </w:rPr>
        <w:t xml:space="preserve">, the special provisions set forth in </w:t>
      </w:r>
      <w:r>
        <w:rPr>
          <w:rFonts w:ascii="Times New Roman;serif" w:hAnsi="Times New Roman;serif"/>
          <w:b w:val="false"/>
          <w:color w:val="000000"/>
          <w:sz w:val="22"/>
          <w:u w:val="single"/>
        </w:rPr>
        <w:t>Appendix 2</w:t>
      </w:r>
      <w:r>
        <w:rPr>
          <w:color w:val="000000"/>
        </w:rPr>
        <w:t xml:space="preserve"> </w:t>
      </w:r>
      <w:r>
        <w:rPr>
          <w:rFonts w:ascii="Times New Roman;serif" w:hAnsi="Times New Roman;serif"/>
          <w:b w:val="false"/>
          <w:color w:val="000000"/>
          <w:sz w:val="22"/>
        </w:rPr>
        <w:t xml:space="preserve">for such country shall apply to the Participant to the extent that the Company determines that the application of such provisions is necessary or advisable for legal or administrative reasons. </w:t>
      </w:r>
      <w:r>
        <w:rPr>
          <w:rFonts w:ascii="Times New Roman;serif" w:hAnsi="Times New Roman;serif"/>
          <w:b w:val="false"/>
          <w:color w:val="000000"/>
          <w:sz w:val="22"/>
          <w:u w:val="single"/>
        </w:rPr>
        <w:t>Appendix 2</w:t>
      </w:r>
      <w:r>
        <w:rPr>
          <w:color w:val="000000"/>
        </w:rPr>
        <w:t xml:space="preserve"> </w:t>
      </w:r>
      <w:r>
        <w:rPr>
          <w:rFonts w:ascii="Times New Roman;serif" w:hAnsi="Times New Roman;serif"/>
          <w:b w:val="false"/>
          <w:color w:val="000000"/>
          <w:sz w:val="22"/>
        </w:rPr>
        <w:t>constitutes part of this PSU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PSU Agreement (including the PSU Grant Notice), the Plan shall govern and control.</w:t>
      </w:r>
    </w:p>
    <w:p>
      <w:pPr>
        <w:pStyle w:val="TextBody"/>
        <w:bidi w:val="0"/>
        <w:spacing w:lineRule="auto" w:line="288" w:before="0" w:after="240"/>
        <w:ind w:left="0" w:right="0" w:firstLine="144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The Company reserves the right to impose other requirements on the Participant’s participation in the Plan, on the PSUs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PSU Agreement (including, without limitation, all exhibits and appendices attached hereto), the PSU Grant Notice and the Plan constitute the entire agreement of the parties hereto in respect of the subject matter contained herein and supersede all prior agreements and understandings of the parties, oral and written, with respect to such subject matter.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0" w:after="240"/>
        <w:jc w:val="both"/>
        <w:rPr/>
      </w:pPr>
      <w:r>
        <w:rPr>
          <w:rFonts w:ascii="Times New Roman;serif" w:hAnsi="Times New Roman;serif"/>
          <w:b w:val="false"/>
          <w:color w:val="000000"/>
          <w:sz w:val="22"/>
        </w:rPr>
        <w:t xml:space="preserve">Subject to Section 4 of this </w:t>
      </w:r>
      <w:r>
        <w:rPr>
          <w:rFonts w:ascii="Times New Roman;serif" w:hAnsi="Times New Roman;serif"/>
          <w:b w:val="false"/>
          <w:color w:val="000000"/>
          <w:sz w:val="22"/>
          <w:u w:val="single"/>
        </w:rPr>
        <w:t>Exhibit A</w:t>
      </w:r>
      <w:r>
        <w:rPr>
          <w:rFonts w:ascii="Times New Roman;serif" w:hAnsi="Times New Roman;serif"/>
          <w:b w:val="false"/>
          <w:color w:val="000000"/>
          <w:sz w:val="22"/>
        </w:rPr>
        <w:t>, the PSUs will become earned based on achievement of the Performance Conditions with respect to the Performance Period as set forth below.</w:t>
      </w:r>
    </w:p>
    <w:p>
      <w:pPr>
        <w:pStyle w:val="TextBody"/>
        <w:bidi w:val="0"/>
        <w:spacing w:lineRule="auto" w:line="288" w:before="0" w:after="240"/>
        <w:jc w:val="left"/>
        <w:rPr/>
      </w:pPr>
      <w:r>
        <w:rPr>
          <w:rFonts w:ascii="Times New Roman;serif" w:hAnsi="Times New Roman;serif"/>
          <w:b w:val="false"/>
          <w:color w:val="000000"/>
          <w:sz w:val="22"/>
        </w:rPr>
        <w:t>1.</w:t>
      </w:r>
      <w:r>
        <w:rPr>
          <w:rFonts w:ascii="Times New Roman;serif" w:hAnsi="Times New Roman;serif"/>
          <w:b w:val="false"/>
          <w:i/>
          <w:color w:val="000000"/>
          <w:sz w:val="22"/>
          <w:u w:val="single"/>
        </w:rPr>
        <w:t>Performance Conditions</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 percent of the PSUs shall become earned and eligible to vest based on the achievement of the Performance Condition(s) set forth below: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[Performance Condition(s) and Achievement Levels]</w:t>
      </w:r>
    </w:p>
    <w:p>
      <w:pPr>
        <w:pStyle w:val="TextBody"/>
        <w:bidi w:val="0"/>
        <w:spacing w:lineRule="auto" w:line="288" w:before="0" w:after="240"/>
        <w:jc w:val="both"/>
        <w:rPr/>
      </w:pPr>
      <w:r>
        <w:rPr>
          <w:rFonts w:ascii="Times New Roman;serif" w:hAnsi="Times New Roman;serif"/>
          <w:b w:val="false"/>
          <w:color w:val="000000"/>
          <w:sz w:val="22"/>
        </w:rPr>
        <w:t>2.</w:t>
      </w:r>
      <w:r>
        <w:rPr>
          <w:rFonts w:ascii="Times New Roman;serif" w:hAnsi="Times New Roman;serif"/>
          <w:b w:val="false"/>
          <w:i/>
          <w:color w:val="000000"/>
          <w:sz w:val="22"/>
          <w:u w:val="single"/>
        </w:rPr>
        <w:t>Calculation of Number of Earned PSUs</w:t>
      </w:r>
      <w:r>
        <w:rPr>
          <w:rFonts w:ascii="Times New Roman;serif" w:hAnsi="Times New Roman;serif"/>
          <w:b w:val="false"/>
          <w:color w:val="000000"/>
          <w:sz w:val="22"/>
        </w:rPr>
        <w:t xml:space="preserve">: On the Determination Date, the Committee shall determine, in its sole discretion, the achievement with respect to each Performance Condition and calculate the “Percentage of Target Award Earned” based on the percentages specified above for each applicable Performance Condition.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Performance Condition shall not be achieved and the PSUs applicable to such Performance Condition shall not become earned until the Committee certifies in writing the extent to which the Performance Condition has been met. All determinations with respect to whether and the extent to which the Performance Condition has been achieved shall be made by the Committee in its sole discretion. In the event that actual performance of an applicable Performance Condition exceeds the “Maximum” level of achievement with respect to such Performance Condition as set forth in the table above, the “Percentage of Target Award Earned” shall be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actual performance of an applicable Performance Condition as determined by the Committee is between (i) the “Threshold” and “Target” levels of achievement or (ii) the “Target” and “Maximum” levels of achievement, then the “Percentage of Target Award Earned” shall be determined by linear interpolation (and rounded to the nearest tenth of a whole percent). In the event the Percentage of Target Award Earned as multiplied by the Target Number of PSUs results in a fractional number of earned PSUs, the number of earned PSUs will be rounded up to the nearest whole number.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PSUs which do not become earned based on actual performance during the Performance Period shall be forfeited on the Determination Date for no consideration therefor. </w:t>
      </w:r>
    </w:p>
    <w:p>
      <w:pPr>
        <w:pStyle w:val="TextBody"/>
        <w:bidi w:val="0"/>
        <w:spacing w:lineRule="auto" w:line="288" w:before="0" w:after="240"/>
        <w:jc w:val="both"/>
        <w:rPr/>
      </w:pPr>
      <w:r>
        <w:rPr>
          <w:rFonts w:ascii="Times New Roman;serif" w:hAnsi="Times New Roman;serif"/>
          <w:b w:val="false"/>
          <w:color w:val="000000"/>
          <w:sz w:val="22"/>
        </w:rPr>
        <w:t>3.</w:t>
      </w:r>
      <w:r>
        <w:rPr>
          <w:rFonts w:ascii="Times New Roman;serif" w:hAnsi="Times New Roman;serif"/>
          <w:b w:val="false"/>
          <w:i/>
          <w:color w:val="000000"/>
          <w:sz w:val="22"/>
          <w:u w:val="single"/>
        </w:rPr>
        <w:t>Vesting of Earned PSUs</w:t>
      </w:r>
      <w:r>
        <w:rPr>
          <w:rFonts w:ascii="Times New Roman;serif" w:hAnsi="Times New Roman;serif"/>
          <w:b w:val="false"/>
          <w:color w:val="000000"/>
          <w:sz w:val="22"/>
        </w:rPr>
        <w:t xml:space="preserve">. Except as provided in Section 4 of this </w:t>
      </w:r>
      <w:r>
        <w:rPr>
          <w:rFonts w:ascii="Times New Roman;serif" w:hAnsi="Times New Roman;serif"/>
          <w:b w:val="false"/>
          <w:color w:val="000000"/>
          <w:sz w:val="22"/>
          <w:u w:val="single"/>
        </w:rPr>
        <w:t>Exhibit A</w:t>
      </w:r>
      <w:r>
        <w:rPr>
          <w:rFonts w:ascii="Times New Roman;serif" w:hAnsi="Times New Roman;serif"/>
          <w:b w:val="false"/>
          <w:color w:val="000000"/>
          <w:sz w:val="22"/>
        </w:rPr>
        <w:t>, [•]% of the earned PSUs will vest on the later of the Determination Date and Vesting Commencement Date and an additional [•]% of the earned PSUs will vest on each of the first, second, and third anniversaries of the Vesting Commencement Date, such that in the ordinary course and assuming no Termination, the earned PSUs will be fully vested on the third (3</w:t>
      </w:r>
      <w:r>
        <w:rPr>
          <w:rFonts w:ascii="Times New Roman;serif" w:hAnsi="Times New Roman;serif"/>
          <w:b w:val="false"/>
          <w:color w:val="000000"/>
          <w:sz w:val="14"/>
        </w:rPr>
        <w:t>rd</w:t>
      </w:r>
      <w:r>
        <w:rPr>
          <w:rFonts w:ascii="Times New Roman;serif" w:hAnsi="Times New Roman;serif"/>
          <w:b w:val="false"/>
          <w:color w:val="000000"/>
          <w:sz w:val="22"/>
        </w:rPr>
        <w:t>) anniversary of the Vesting Commencement Date. In the event any tranche of the vesting schedule results in fractional shares of Common Stock, such shares will be rounded down to the nearest whole share of Common Stock.</w:t>
      </w:r>
    </w:p>
    <w:p>
      <w:pPr>
        <w:pStyle w:val="TextBody"/>
        <w:bidi w:val="0"/>
        <w:spacing w:lineRule="auto" w:line="288" w:before="0" w:after="240"/>
        <w:jc w:val="left"/>
        <w:rPr/>
      </w:pPr>
      <w:r>
        <w:rPr>
          <w:rFonts w:ascii="Times New Roman;serif" w:hAnsi="Times New Roman;serif"/>
          <w:b w:val="false"/>
          <w:color w:val="000000"/>
          <w:sz w:val="22"/>
        </w:rPr>
        <w:t>4.</w:t>
      </w:r>
      <w:r>
        <w:rPr>
          <w:rFonts w:ascii="Times New Roman;serif" w:hAnsi="Times New Roman;serif"/>
          <w:b w:val="false"/>
          <w:i/>
          <w:color w:val="000000"/>
          <w:sz w:val="22"/>
          <w:u w:val="single"/>
        </w:rPr>
        <w:t>Effect of Termination or a Change in Control</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(a)Unless otherwise determined by the Committee:</w:t>
      </w:r>
    </w:p>
    <w:p>
      <w:pPr>
        <w:pStyle w:val="TextBody"/>
        <w:bidi w:val="0"/>
        <w:spacing w:lineRule="auto" w:line="288" w:before="0" w:after="24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 xml:space="preserve">(i)in the event of the Participant’s Termination due to death or Disability prior to the end of the Performance Period, a number of PSUs equal to the Target Number of PSUs set forth in the PSU Grant Notice shall vest upon the Participant’s 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shall be settled as set forth in Section 3 of the PSU Agreement. In the event of the Participant’s Termination due to death or Disability on or following the end of the Performance Period, a number of PSUs corresponding to the number of PSUs based on actual performance shall vest upon the later of the Participant’s Termination and the Determination Date and shall be settled as set forth in Section 3 of the PSU Agreement.</w:t>
      </w:r>
    </w:p>
    <w:p>
      <w:pPr>
        <w:pStyle w:val="TextBody"/>
        <w:bidi w:val="0"/>
        <w:spacing w:lineRule="auto" w:line="288" w:before="0" w:after="240"/>
        <w:ind w:left="0" w:right="0" w:hanging="180"/>
        <w:jc w:val="both"/>
        <w:rPr/>
      </w:pPr>
      <w:r>
        <w:rPr>
          <w:rFonts w:ascii="Times New Roman;serif" w:hAnsi="Times New Roman;serif"/>
          <w:b w:val="false"/>
          <w:color w:val="000000"/>
          <w:sz w:val="22"/>
        </w:rPr>
        <w:t>(ii)in the event, prior to the Determination Date, of the Participant’s Termination without Cause (excluding death or Disability) or resignation for Good Reason, in either case, prior to the Determination Date and within the CIC Transaction Protection Period applicable to the Participant (a “</w:t>
      </w:r>
      <w:r>
        <w:rPr>
          <w:rFonts w:ascii="Times New Roman;serif" w:hAnsi="Times New Roman;serif"/>
          <w:b w:val="false"/>
          <w:color w:val="000000"/>
          <w:sz w:val="22"/>
          <w:u w:val="single"/>
        </w:rPr>
        <w:t>Qualifying CIC Termination</w:t>
      </w:r>
      <w:r>
        <w:rPr>
          <w:color w:val="000000"/>
        </w:rPr>
        <w:t>”</w:t>
      </w:r>
      <w:r>
        <w:rPr>
          <w:rFonts w:ascii="Times New Roman;serif" w:hAnsi="Times New Roman;serif"/>
          <w:b w:val="false"/>
          <w:color w:val="000000"/>
          <w:sz w:val="22"/>
        </w:rPr>
        <w:t>), a number of PSUs equal to the Target Number of PSUs set forth in the PSU Grant Notice shall vest upon the Participant’s Qualifying CIC Termination and shall be settled as set forth in Section 3 of the PSU Agreement. In the event, on or following the Determination Date, of the Participant’s Qualifying CIC Termination, all then-outstanding earned PSUs shall vest upon such Qualifying CIC Termination and shall be settled as set forth in Section 3 of the PSU Agreement.</w:t>
      </w:r>
    </w:p>
    <w:p>
      <w:pPr>
        <w:pStyle w:val="TextBody"/>
        <w:bidi w:val="0"/>
        <w:spacing w:lineRule="auto" w:line="288" w:before="0" w:after="240"/>
        <w:ind w:left="0" w:right="0" w:hanging="180"/>
        <w:jc w:val="both"/>
        <w:rPr/>
      </w:pPr>
      <w:r>
        <w:rPr>
          <w:rFonts w:ascii="Times New Roman;serif" w:hAnsi="Times New Roman;serif"/>
          <w:b w:val="false"/>
          <w:color w:val="000000"/>
          <w:sz w:val="24"/>
        </w:rPr>
        <w:t>(iii)</w:t>
      </w:r>
      <w:r>
        <w:rPr>
          <w:rFonts w:ascii="Times New Roman;serif" w:hAnsi="Times New Roman;serif"/>
          <w:b w:val="false"/>
          <w:color w:val="000000"/>
          <w:sz w:val="22"/>
        </w:rPr>
        <w:t xml:space="preserve">in the event of the Participant’s Termination for any reason other than set forth in Section 4(a)(i) or Section 4(a)(ii), all vesting of PSUs shall cease and all unvested earned PSUs shall be forfeited to the Company by the Participant for no consideration (and without any further action by the Company) as of the date of such Termination; and </w:t>
      </w:r>
    </w:p>
    <w:p>
      <w:pPr>
        <w:pStyle w:val="TextBody"/>
        <w:bidi w:val="0"/>
        <w:spacing w:lineRule="auto" w:line="288" w:before="0" w:after="240"/>
        <w:ind w:left="0" w:right="0" w:hanging="180"/>
        <w:jc w:val="both"/>
        <w:rPr>
          <w:rFonts w:ascii="Times New Roman;serif" w:hAnsi="Times New Roman;serif"/>
          <w:b w:val="false"/>
          <w:color w:val="000000"/>
          <w:sz w:val="22"/>
        </w:rPr>
      </w:pPr>
      <w:r>
        <w:rPr>
          <w:rFonts w:ascii="Times New Roman;serif" w:hAnsi="Times New Roman;serif"/>
          <w:b w:val="false"/>
          <w:color w:val="000000"/>
          <w:sz w:val="22"/>
        </w:rPr>
        <w:t>(iv)in the event of (A) the Participant’s Termination by the Company for Cause, (B) the Participant’s voluntary resignation when grounds for Cause exist or (C) a Protective Covenant Violation, all vested PSUs that have not been settled in shares of Common Stock pursuant to Section 3 of the PSU Agreement shall be forfeited to the Company by the Participant for no consideration (and without any further action by the Company) as of the date of such Termination.</w:t>
      </w:r>
    </w:p>
    <w:p>
      <w:pPr>
        <w:pStyle w:val="TextBody"/>
        <w:bidi w:val="0"/>
        <w:spacing w:lineRule="auto" w:line="288" w:before="0" w:after="240"/>
        <w:ind w:left="0" w:right="0" w:hanging="720"/>
        <w:jc w:val="left"/>
        <w:rPr/>
      </w:pPr>
      <w:r>
        <w:rPr>
          <w:rFonts w:ascii="Times New Roman;serif" w:hAnsi="Times New Roman;serif"/>
          <w:b w:val="false"/>
          <w:color w:val="000000"/>
          <w:sz w:val="22"/>
        </w:rPr>
        <w:t>5.</w:t>
      </w:r>
      <w:r>
        <w:rPr>
          <w:rFonts w:ascii="Times New Roman;serif" w:hAnsi="Times New Roman;serif"/>
          <w:b w:val="false"/>
          <w:i/>
          <w:color w:val="000000"/>
          <w:sz w:val="22"/>
          <w:u w:val="single"/>
        </w:rPr>
        <w:t>Definitions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(a)[Performance Condition Definitions]</w:t>
      </w:r>
    </w:p>
    <w:p>
      <w:pPr>
        <w:pStyle w:val="TextBody"/>
        <w:bidi w:val="0"/>
        <w:spacing w:lineRule="auto" w:line="288" w:before="0" w:after="240"/>
        <w:ind w:left="0" w:right="0" w:hanging="36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Applicable Financial Statement</w:t>
      </w:r>
      <w:r>
        <w:rPr>
          <w:color w:val="000000"/>
        </w:rPr>
        <w:t xml:space="preserve">” </w:t>
      </w:r>
      <w:r>
        <w:rPr>
          <w:rFonts w:ascii="Times New Roman;serif" w:hAnsi="Times New Roman;serif"/>
          <w:b w:val="false"/>
          <w:color w:val="000000"/>
          <w:sz w:val="22"/>
        </w:rPr>
        <w:t>shall mean a particular fiscal year’s (or a particular fiscal quarter’s, as applicable) financial statements that appear in the Company’s Annual Report on Form 10-K or Quarterly Report on Form 10-Q filed with the U.S. Securities and Exchange Commission.</w:t>
      </w:r>
    </w:p>
    <w:p>
      <w:pPr>
        <w:pStyle w:val="TextBody"/>
        <w:bidi w:val="0"/>
        <w:spacing w:lineRule="auto" w:line="288" w:before="0" w:after="240"/>
        <w:ind w:left="0" w:right="0" w:hanging="36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CIC Transaction Protection Period</w:t>
      </w:r>
      <w:r>
        <w:rPr>
          <w:color w:val="000000"/>
        </w:rPr>
        <w:t xml:space="preserve">” </w:t>
      </w:r>
      <w:r>
        <w:rPr>
          <w:rFonts w:ascii="Times New Roman;serif" w:hAnsi="Times New Roman;serif"/>
          <w:b w:val="false"/>
          <w:color w:val="000000"/>
          <w:sz w:val="22"/>
        </w:rPr>
        <w:t xml:space="preserve">shall have the meaning given to such term in the Severance Plan applicable to the Participant as of the relevant determination date, except that if the applicable Severance Plan does not contain such definition, the CIC Transaction Protection Period shall be six (6) months following the Change in Control. </w:t>
      </w:r>
    </w:p>
    <w:p>
      <w:pPr>
        <w:pStyle w:val="TextBody"/>
        <w:bidi w:val="0"/>
        <w:spacing w:lineRule="auto" w:line="288" w:before="0" w:after="240"/>
        <w:ind w:left="0" w:right="0" w:hanging="360"/>
        <w:jc w:val="both"/>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Determination Date</w:t>
      </w:r>
      <w:r>
        <w:rPr>
          <w:color w:val="000000"/>
        </w:rPr>
        <w:t xml:space="preserve">” </w:t>
      </w:r>
      <w:r>
        <w:rPr>
          <w:rFonts w:ascii="Times New Roman;serif" w:hAnsi="Times New Roman;serif"/>
          <w:b w:val="false"/>
          <w:color w:val="000000"/>
          <w:sz w:val="22"/>
        </w:rPr>
        <w:t>shall mean the date on which the Committee certifies in writing the extent to which the Performance Conditions for the Performance Period have been met.</w:t>
      </w:r>
    </w:p>
    <w:p>
      <w:pPr>
        <w:pStyle w:val="TextBody"/>
        <w:bidi w:val="0"/>
        <w:spacing w:lineRule="auto" w:line="288" w:before="0" w:after="240"/>
        <w:ind w:left="0" w:right="0" w:hanging="360"/>
        <w:jc w:val="both"/>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 xml:space="preserve">shall have the meaning given to such term in the Severance Plan applicable to the Participant as of the relevant determination date, except that if the applicable Severance Plan does not contain such definition, then Good Reason shall have the meaning set forth in the Medline Inc. SVP and VP Severance Plan. </w:t>
      </w:r>
    </w:p>
    <w:p>
      <w:pPr>
        <w:pStyle w:val="TextBody"/>
        <w:bidi w:val="0"/>
        <w:spacing w:lineRule="auto" w:line="288" w:before="0" w:after="240"/>
        <w:ind w:left="0" w:right="0" w:hanging="360"/>
        <w:jc w:val="both"/>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2"/>
          <w:u w:val="single"/>
        </w:rPr>
        <w:t>Severance Plan</w:t>
      </w:r>
      <w:r>
        <w:rPr>
          <w:color w:val="000000"/>
        </w:rPr>
        <w:t xml:space="preserve">” </w:t>
      </w:r>
      <w:r>
        <w:rPr>
          <w:rFonts w:ascii="Times New Roman;serif" w:hAnsi="Times New Roman;serif"/>
          <w:b w:val="false"/>
          <w:color w:val="000000"/>
          <w:sz w:val="22"/>
        </w:rPr>
        <w:t>shall mean, as applicable to the Participant, (i) the Amended &amp; Restated Medline Inc. Executive Severance Plan, (ii) the Medline Inc. SVP and VP Severance Plan, and (iii) the Medline Inc. Severance Plan, in each case, as the same may be amended and/or restated from time to time.</w:t>
      </w:r>
    </w:p>
    <w:p>
      <w:pPr>
        <w:pStyle w:val="TextBody"/>
        <w:bidi w:val="0"/>
        <w:spacing w:lineRule="auto" w:line="288" w:before="0" w:after="240"/>
        <w:ind w:left="0" w:right="0" w:hanging="360"/>
        <w:jc w:val="both"/>
        <w:rPr/>
      </w:pPr>
      <w:r>
        <w:rPr>
          <w:rFonts w:ascii="Times New Roman;serif" w:hAnsi="Times New Roman;serif"/>
          <w:b w:val="false"/>
          <w:color w:val="000000"/>
          <w:sz w:val="22"/>
        </w:rPr>
        <w:t>(g)</w:t>
      </w:r>
      <w:r>
        <w:rPr>
          <w:color w:val="000000"/>
        </w:rPr>
        <w:t>“</w:t>
      </w:r>
      <w:r>
        <w:rPr>
          <w:rFonts w:ascii="Times New Roman;serif" w:hAnsi="Times New Roman;serif"/>
          <w:b w:val="false"/>
          <w:color w:val="000000"/>
          <w:sz w:val="22"/>
          <w:u w:val="single"/>
        </w:rPr>
        <w:t>Performance Period</w:t>
      </w:r>
      <w:r>
        <w:rPr>
          <w:color w:val="000000"/>
        </w:rPr>
        <w:t xml:space="preserve">” </w:t>
      </w:r>
      <w:r>
        <w:rPr>
          <w:rFonts w:ascii="Times New Roman;serif" w:hAnsi="Times New Roman;serif"/>
          <w:b w:val="false"/>
          <w:color w:val="000000"/>
          <w:sz w:val="22"/>
        </w:rPr>
        <w:t>shall mean the “Performance Period” specified on the PSU Grant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Appendix 1</w:t>
      </w:r>
    </w:p>
    <w:p>
      <w:pPr>
        <w:pStyle w:val="TextBody"/>
        <w:bidi w:val="0"/>
        <w:spacing w:before="0" w:after="0"/>
        <w:jc w:val="center"/>
        <w:rPr/>
      </w:pPr>
      <w:r>
        <w:rPr/>
      </w:r>
    </w:p>
    <w:p>
      <w:pPr>
        <w:pStyle w:val="TextBody"/>
        <w:bidi w:val="0"/>
        <w:spacing w:lineRule="auto" w:line="288"/>
        <w:jc w:val="left"/>
        <w:rPr>
          <w:rFonts w:ascii="Times New Roman;serif" w:hAnsi="Times New Roman;serif"/>
          <w:b/>
          <w:i/>
          <w:color w:val="000000"/>
          <w:sz w:val="22"/>
        </w:rPr>
      </w:pPr>
      <w:r>
        <w:rPr>
          <w:rFonts w:ascii="Times New Roman;serif" w:hAnsi="Times New Roman;serif"/>
          <w:b/>
          <w:i/>
          <w:color w:val="000000"/>
          <w:sz w:val="22"/>
        </w:rPr>
        <w:t>Protective Covenant Appendix</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Appendix 2</w:t>
      </w:r>
    </w:p>
    <w:p>
      <w:pPr>
        <w:pStyle w:val="TextBody"/>
        <w:bidi w:val="0"/>
        <w:spacing w:lineRule="auto" w:line="288"/>
        <w:jc w:val="center"/>
        <w:rPr>
          <w:rFonts w:ascii="Times New Roman;serif" w:hAnsi="Times New Roman;serif"/>
          <w:b/>
          <w:i/>
          <w:color w:val="000000"/>
          <w:sz w:val="22"/>
        </w:rPr>
      </w:pPr>
      <w:r>
        <w:rPr>
          <w:rFonts w:ascii="Times New Roman;serif" w:hAnsi="Times New Roman;serif"/>
          <w:b/>
          <w:i/>
          <w:color w:val="000000"/>
          <w:sz w:val="22"/>
        </w:rPr>
        <w:t>Country-Specific Appendix</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10.42</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2"/>
        </w:rPr>
      </w:pPr>
      <w:r>
        <w:rPr>
          <w:rFonts w:ascii="Times New Roman;serif" w:hAnsi="Times New Roman;serif"/>
          <w:b/>
          <w:color w:val="000000"/>
          <w:sz w:val="22"/>
        </w:rPr>
        <w:t>RSU GRANT NOTICE</w:t>
        <w:br/>
        <w:t>UNDER THE</w:t>
        <w:br/>
        <w:t>MEDLINE INC.</w:t>
        <w:br/>
        <w:t>2025 OMNIBUS INCENTIVE PLAN</w:t>
        <w:br/>
        <w:t>(Initial RSU Grant (Prior Aggregator RSUs) – Directors)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Medline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the Medline Inc. 2025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number of Restricted Stock Units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set forth below. The RSUs are subject to all of the terms and conditions as set forth herein, in the Restricted Stock Unit Agreement (attached hereto) (the “</w:t>
      </w:r>
      <w:r>
        <w:rPr>
          <w:rFonts w:ascii="Times New Roman;serif" w:hAnsi="Times New Roman;serif"/>
          <w:b w:val="false"/>
          <w:color w:val="000000"/>
          <w:sz w:val="22"/>
          <w:u w:val="single"/>
        </w:rPr>
        <w:t>RSU Agreement</w:t>
      </w:r>
      <w:r>
        <w:rPr>
          <w:color w:val="000000"/>
        </w:rPr>
        <w:t>”</w:t>
      </w:r>
      <w:r>
        <w:rPr>
          <w:rFonts w:ascii="Times New Roman;serif" w:hAnsi="Times New Roman;serif"/>
          <w:b w:val="false"/>
          <w:color w:val="000000"/>
          <w:sz w:val="22"/>
        </w:rPr>
        <w:t>), and in the Plan, all of which are incorporated herein in their entirety. Capitalized terms not otherwise defined herein shall have the meaning set forth in the Plan.</w:t>
      </w:r>
    </w:p>
    <w:p>
      <w:pPr>
        <w:pStyle w:val="TextBody"/>
        <w:bidi w:val="0"/>
        <w:spacing w:lineRule="auto" w:line="288" w:before="0" w:after="240"/>
        <w:ind w:left="0" w:right="0" w:hanging="3600"/>
        <w:jc w:val="left"/>
        <w:rPr/>
      </w:pPr>
      <w:r>
        <w:rPr>
          <w:rFonts w:ascii="Times New Roman;serif" w:hAnsi="Times New Roman;serif"/>
          <w:b/>
          <w:color w:val="000000"/>
          <w:sz w:val="22"/>
        </w:rPr>
        <w:t>Participant</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Date of Grant</w:t>
      </w:r>
      <w:r>
        <w:rPr>
          <w:rFonts w:ascii="Times New Roman;serif" w:hAnsi="Times New Roman;serif"/>
          <w:b w:val="false"/>
          <w:color w:val="000000"/>
          <w:sz w:val="22"/>
        </w:rPr>
        <w:t>:     December 17, 2025</w:t>
      </w:r>
    </w:p>
    <w:p>
      <w:pPr>
        <w:pStyle w:val="TextBody"/>
        <w:bidi w:val="0"/>
        <w:spacing w:lineRule="auto" w:line="288" w:before="0" w:after="240"/>
        <w:ind w:left="0" w:right="0" w:hanging="3600"/>
        <w:jc w:val="left"/>
        <w:rPr/>
      </w:pPr>
      <w:r>
        <w:rPr>
          <w:rFonts w:ascii="Times New Roman;serif" w:hAnsi="Times New Roman;serif"/>
          <w:b/>
          <w:color w:val="000000"/>
          <w:sz w:val="22"/>
        </w:rPr>
        <w:t>Vesting Date</w:t>
      </w:r>
      <w:r>
        <w:rPr>
          <w:rFonts w:ascii="Times New Roman;serif" w:hAnsi="Times New Roman;serif"/>
          <w:b w:val="false"/>
          <w:color w:val="000000"/>
          <w:sz w:val="22"/>
        </w:rPr>
        <w:t>:    </w:t>
      </w:r>
    </w:p>
    <w:p>
      <w:pPr>
        <w:pStyle w:val="TextBody"/>
        <w:bidi w:val="0"/>
        <w:spacing w:lineRule="auto" w:line="288" w:before="0" w:after="240"/>
        <w:ind w:left="0" w:right="0" w:hanging="3600"/>
        <w:jc w:val="left"/>
        <w:rPr/>
      </w:pPr>
      <w:r>
        <w:rPr>
          <w:rFonts w:ascii="Times New Roman;serif" w:hAnsi="Times New Roman;serif"/>
          <w:b/>
          <w:color w:val="000000"/>
          <w:sz w:val="22"/>
        </w:rPr>
        <w:t>Number of RSUs</w:t>
      </w:r>
      <w:r>
        <w:rPr>
          <w:rFonts w:ascii="Times New Roman;serif" w:hAnsi="Times New Roman;serif"/>
          <w:b w:val="false"/>
          <w:color w:val="000000"/>
          <w:sz w:val="22"/>
        </w:rPr>
        <w:t>:     [#####]</w:t>
      </w:r>
    </w:p>
    <w:p>
      <w:pPr>
        <w:pStyle w:val="TextBody"/>
        <w:bidi w:val="0"/>
        <w:spacing w:lineRule="auto" w:line="288" w:before="0" w:after="240"/>
        <w:ind w:left="0" w:right="0" w:hanging="3600"/>
        <w:jc w:val="both"/>
        <w:rPr/>
      </w:pPr>
      <w:r>
        <w:rPr>
          <w:rFonts w:ascii="Times New Roman;serif" w:hAnsi="Times New Roman;serif"/>
          <w:b/>
          <w:color w:val="000000"/>
          <w:sz w:val="22"/>
        </w:rPr>
        <w:t>Vesting Schedule</w:t>
      </w:r>
      <w:r>
        <w:rPr>
          <w:rFonts w:ascii="Times New Roman;serif" w:hAnsi="Times New Roman;serif"/>
          <w:b w:val="false"/>
          <w:color w:val="000000"/>
          <w:sz w:val="22"/>
        </w:rPr>
        <w:t>:    Provided that the Participant has not undergone a Termination at the time of the applicable vesting date, 100% of the RSUs will vest on the Vesting Date set forth above.</w:t>
      </w:r>
    </w:p>
    <w:p>
      <w:pPr>
        <w:pStyle w:val="TextBody"/>
        <w:bidi w:val="0"/>
        <w:spacing w:lineRule="auto" w:line="288" w:before="0" w:after="240"/>
        <w:ind w:left="0" w:right="0" w:hanging="3600"/>
        <w:jc w:val="both"/>
        <w:rPr/>
      </w:pPr>
      <w:r>
        <w:rPr>
          <w:rFonts w:ascii="Times New Roman;serif" w:hAnsi="Times New Roman;serif"/>
          <w:b/>
          <w:color w:val="000000"/>
          <w:sz w:val="22"/>
        </w:rPr>
        <w:t>Settlement</w:t>
      </w:r>
      <w:r>
        <w:rPr>
          <w:rFonts w:ascii="Times New Roman;serif" w:hAnsi="Times New Roman;serif"/>
          <w:b w:val="false"/>
          <w:color w:val="000000"/>
          <w:sz w:val="22"/>
        </w:rPr>
        <w:t>:    Any RSUs that become vested pursuant to the Vesting Schedule will be settled in accordance with Section 3 of the RSU Agreement.</w:t>
      </w:r>
    </w:p>
    <w:p>
      <w:pPr>
        <w:pStyle w:val="TextBody"/>
        <w:bidi w:val="0"/>
        <w:spacing w:before="0" w:after="0"/>
        <w:jc w:val="left"/>
        <w:rPr/>
      </w:pPr>
      <w:r>
        <w:rPr/>
      </w:r>
    </w:p>
    <w:p>
      <w:pPr>
        <w:pStyle w:val="TextBody"/>
        <w:bidi w:val="0"/>
        <w:spacing w:before="0" w:after="240"/>
        <w:ind w:left="0" w:right="0" w:hanging="3600"/>
        <w:jc w:val="both"/>
        <w:rPr/>
      </w:pPr>
      <w:r>
        <w:rPr/>
      </w:r>
    </w:p>
    <w:p>
      <w:pPr>
        <w:pStyle w:val="TextBody"/>
        <w:bidi w:val="0"/>
        <w:spacing w:lineRule="auto" w:line="288" w:before="0" w:after="240"/>
        <w:ind w:left="0" w:right="0" w:hanging="3600"/>
        <w:jc w:val="left"/>
        <w:rPr>
          <w:color w:val="000000"/>
        </w:rPr>
      </w:pPr>
      <w:r>
        <w:rPr>
          <w:color w:val="000000"/>
        </w:rPr>
        <w:t>    </w:t>
      </w: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Director RSU Award Agreement – Convert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Director RSU Award Agreement – Convert</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THE UNDERSIGNED PARTICIPANT ACKNOWLEDGES RECEIPT OF THIS RSU GRANT NOTICE, THE RSU AGREEMENT AND THE PLAN, AND, AS AN EXPRESS CONDITION TO THE GRANT OF RSUS HEREUNDER, AGREES TO BE BOUND BY THE TERMS OF THIS RSU GRANT NOTICE, THE RSU AGREEMENT AND THE PLAN.</w:t>
      </w:r>
      <w:r>
        <w:rPr>
          <w:color w:val="000000"/>
          <w:u w:val="single"/>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MEDLINE INC.                PARTICIPANT</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2"/>
        </w:rPr>
        <w:t>________________________________        </w:t>
      </w:r>
      <w:r>
        <w:rPr>
          <w:color w:val="000000"/>
          <w:u w:val="single"/>
        </w:rPr>
        <w:t xml:space="preserve"> </w:t>
      </w:r>
      <w:r>
        <w:rPr>
          <w:rFonts w:ascii="Times New Roman;serif" w:hAnsi="Times New Roman;serif"/>
          <w:b w:val="false"/>
          <w:color w:val="000000"/>
          <w:sz w:val="22"/>
          <w:u w:val="single"/>
        </w:rPr>
        <w:t>#Signature#                        </w:t>
      </w:r>
      <w:r>
        <w:rPr>
          <w:rFonts w:ascii="Times New Roman;serif" w:hAnsi="Times New Roman;serif"/>
          <w:b w:val="false"/>
          <w:color w:val="000000"/>
          <w:sz w:val="22"/>
        </w:rPr>
        <w:br/>
        <w:t>By: Christopher Shryock            Name</w:t>
        <w:br/>
        <w:t xml:space="preserve">Title: </w:t>
      </w:r>
      <w:r>
        <w:rPr>
          <w:rFonts w:ascii="Times New Roman;serif" w:hAnsi="Times New Roman;serif"/>
          <w:b w:val="false"/>
          <w:i/>
          <w:color w:val="000000"/>
          <w:sz w:val="22"/>
        </w:rPr>
        <w:t>EVP, Chief Human Resources Officer</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RSU AGREEMENT</w:t>
        <w:br/>
        <w:t>UNDER THE</w:t>
        <w:br/>
        <w:t>MEDLINE INC.</w:t>
        <w:br/>
        <w:t>2025 OMNIBUS INCENTIVE PLAN</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Pursuant to the RSU Grant Notice (the “</w:t>
      </w:r>
      <w:r>
        <w:rPr>
          <w:rFonts w:ascii="Times New Roman;serif" w:hAnsi="Times New Roman;serif"/>
          <w:b w:val="false"/>
          <w:color w:val="000000"/>
          <w:sz w:val="22"/>
          <w:u w:val="single"/>
        </w:rPr>
        <w:t>RSU Grant Notice</w:t>
      </w:r>
      <w:r>
        <w:rPr>
          <w:color w:val="000000"/>
        </w:rPr>
        <w:t>”</w:t>
      </w:r>
      <w:r>
        <w:rPr>
          <w:rFonts w:ascii="Times New Roman;serif" w:hAnsi="Times New Roman;serif"/>
          <w:b w:val="false"/>
          <w:color w:val="000000"/>
          <w:sz w:val="22"/>
        </w:rPr>
        <w:t>) delivered to the Participant (as defined in the RSU Grant Notice), and subject to the terms of this RSU Agreement and the Medline Inc. 2025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Medline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556" w:before="0" w:after="0"/>
        <w:jc w:val="center"/>
        <w:rPr/>
      </w:pPr>
      <w:r>
        <w:rPr>
          <w:rFonts w:ascii="Times New Roman;serif" w:hAnsi="Times New Roman;serif"/>
          <w:b w:val="false"/>
          <w:color w:val="000000"/>
          <w:sz w:val="22"/>
          <w:u w:val="single"/>
        </w:rPr>
        <w:t>R E C I T A L 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the Participant was previously granted a number of restricted stock units (the “</w:t>
      </w:r>
      <w:r>
        <w:rPr>
          <w:rFonts w:ascii="Times New Roman;serif" w:hAnsi="Times New Roman;serif"/>
          <w:b w:val="false"/>
          <w:color w:val="000000"/>
          <w:sz w:val="22"/>
          <w:u w:val="single"/>
        </w:rPr>
        <w:t>Aggregator RSUs</w:t>
      </w:r>
      <w:r>
        <w:rPr>
          <w:color w:val="000000"/>
        </w:rPr>
        <w:t>”</w:t>
      </w:r>
      <w:r>
        <w:rPr>
          <w:rFonts w:ascii="Times New Roman;serif" w:hAnsi="Times New Roman;serif"/>
          <w:b w:val="false"/>
          <w:color w:val="000000"/>
          <w:sz w:val="22"/>
        </w:rPr>
        <w:t>) for Class A Units of Medline Management Aggregator LLC (“</w:t>
      </w:r>
      <w:r>
        <w:rPr>
          <w:rFonts w:ascii="Times New Roman;serif" w:hAnsi="Times New Roman;serif"/>
          <w:b w:val="false"/>
          <w:color w:val="000000"/>
          <w:sz w:val="22"/>
          <w:u w:val="single"/>
        </w:rPr>
        <w:t>Medline Aggregator</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in connection with the initial public offering of the Company (the “</w:t>
      </w:r>
      <w:r>
        <w:rPr>
          <w:rFonts w:ascii="Times New Roman;serif" w:hAnsi="Times New Roman;serif"/>
          <w:b w:val="false"/>
          <w:color w:val="000000"/>
          <w:sz w:val="22"/>
          <w:u w:val="single"/>
        </w:rPr>
        <w:t>IPO</w:t>
      </w:r>
      <w:r>
        <w:rPr>
          <w:color w:val="000000"/>
        </w:rPr>
        <w:t>”</w:t>
      </w:r>
      <w:r>
        <w:rPr>
          <w:rFonts w:ascii="Times New Roman;serif" w:hAnsi="Times New Roman;serif"/>
          <w:b w:val="false"/>
          <w:color w:val="000000"/>
          <w:sz w:val="22"/>
        </w:rPr>
        <w:t>), and in accordance with the terms of the award agreement evidencing the grant of the Aggregator RSUs, the Aggregator RSUs were converted into the number of RSUs under the Plan as set forth in the RSU Grant Notice.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hereinafter set forth, the parties agree as follows:</w:t>
      </w:r>
    </w:p>
    <w:p>
      <w:pPr>
        <w:pStyle w:val="TextBody"/>
        <w:bidi w:val="0"/>
        <w:spacing w:lineRule="auto" w:line="240"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Grant of RSUs</w:t>
      </w:r>
      <w:r>
        <w:rPr>
          <w:rFonts w:ascii="Times New Roman;serif" w:hAnsi="Times New Roman;serif"/>
          <w:b w:val="false"/>
          <w:color w:val="000000"/>
          <w:sz w:val="22"/>
        </w:rPr>
        <w:t xml:space="preserve">. Subject to the terms and conditions set forth herein and in the Plan, the Participant is the holder of the number of RSUs provided in the RSU Grant Notice (with each RSU representing the right to receive one share of Common Stock upon the vesting of such RSU). The Company may make one or more additional grants of RSUs to the Participant under this RSU Agreement by providing the Participant with a new RSU Grant Notice, which may also include any terms and conditions differing from this RSU Agreement to the extent provided therein. The Company reserves all rights with respect to the granting of additional RSUs hereunder and makes no implied promise to grant additional RSUs. </w:t>
      </w:r>
    </w:p>
    <w:p>
      <w:pPr>
        <w:pStyle w:val="TextBody"/>
        <w:bidi w:val="0"/>
        <w:spacing w:lineRule="auto" w:line="240" w:before="0" w:after="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Vesting</w:t>
      </w:r>
      <w:r>
        <w:rPr>
          <w:rFonts w:ascii="Times New Roman;serif" w:hAnsi="Times New Roman;serif"/>
          <w:b w:val="false"/>
          <w:color w:val="000000"/>
          <w:sz w:val="22"/>
        </w:rPr>
        <w:t>. Subject to the terms and conditions contained herein and in the Plan, the RSUs shall vest and the restrictions on the RSUs shall lapse as set forth in the RSU Grant Notice. With respect to any RSU, the period of time that such RSU remains subject to vesting shall be its “Restricted Period.”</w:t>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 xml:space="preserve">Settlement of RSUs </w:t>
      </w:r>
      <w:r>
        <w:rPr>
          <w:rFonts w:ascii="Times New Roman;serif" w:hAnsi="Times New Roman;serif"/>
          <w:b w:val="false"/>
          <w:color w:val="000000"/>
          <w:sz w:val="22"/>
        </w:rPr>
        <w:t xml:space="preserve">. Subject to the provision in Section 9(d)(ii) of the Plan, within 75 days following the date on which the Restricted Period lapses with respect to an RSU, the Company shall issue to the Participant or the Participant’s beneficiary, without charge, one share of Common Stock (or other securities or other property, as applicable) for each such RSU. </w:t>
      </w:r>
    </w:p>
    <w:p>
      <w:pPr>
        <w:pStyle w:val="TextBody"/>
        <w:bidi w:val="0"/>
        <w:spacing w:lineRule="auto" w:line="240" w:before="0" w:after="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Treatment of RSUs Upon Termination or Restrictive Covenant Violation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Unless otherwise determined by the Committee, in the event of the Participant’s Termination for any reason:</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all vesting with respect to the RSUs shall cease (after taking into account vesting of RSUs as set forth in the RSU Grant Notice);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unvested RSUs shall be forfeited to the Company by the Participant for no consideration as of the date of such Termination.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In the event of (i) the Participant’s Termination by the Company for Cause, (ii) the Participant’s voluntary resignation when grounds for Cause exist or (iii) a Restrictive Covenant Violation (as defined below), unvested RSUs and all vested RSUs that have not been settled in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Common Stock pursuant to Section 3 of this RSU Agreement shall be forfeited to the Company by the Participant for no consideration as of the date of such Termination.</w:t>
      </w:r>
    </w:p>
    <w:p>
      <w:pPr>
        <w:pStyle w:val="TextBody"/>
        <w:bidi w:val="0"/>
        <w:spacing w:lineRule="auto" w:line="240" w:before="0" w:after="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Company; Participant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term “Company” as used in this RSU Agreement with reference to employment or service shall include the Board, the Company and its Subsidiaries. </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Whenever the word “Participant” is used in any provision of this RSU Agreement under circumstances where the provision should logically be construed to apply to the executors, the administrators, or the person or persons to whom the RSUs may be transferred by will or by the laws of descent and distribution, the word “Participant” shall be deemed to include such person or persons. </w:t>
      </w:r>
    </w:p>
    <w:p>
      <w:pPr>
        <w:pStyle w:val="TextBody"/>
        <w:bidi w:val="0"/>
        <w:spacing w:lineRule="auto" w:line="240" w:before="0" w:after="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Non-Transferability</w:t>
      </w:r>
      <w:r>
        <w:rPr>
          <w:rFonts w:ascii="Times New Roman;serif" w:hAnsi="Times New Roman;serif"/>
          <w:b w:val="false"/>
          <w:color w:val="000000"/>
          <w:sz w:val="22"/>
        </w:rPr>
        <w:t xml:space="preserve">. The RSUs are not transferable by the Participant except to Permitted Transferees in accordance with Section 14(b) of the Plan. Except as otherwise provided herein, no assignment or transfer of the RSUs, or of the rights represented thereby, whether voluntary or involuntary, by operation of law or otherwise, shall vest in the assignee or transferee any interest or right herein whatsoever, but immediately upon such assignment or transfer the RSUs shall terminate and become of no further effect. </w:t>
      </w:r>
    </w:p>
    <w:p>
      <w:pPr>
        <w:pStyle w:val="TextBody"/>
        <w:bidi w:val="0"/>
        <w:spacing w:lineRule="auto" w:line="240"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The Participant or a Permitted Transferee of the RSUs shall have no rights as a stockholder with respect to any share of Common Stock underlying a RSU unless and until the Participant shall have become the holder of record or the beneficial owner of such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40" w:before="0" w:after="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Dividend Equivalents</w:t>
      </w:r>
      <w:r>
        <w:rPr>
          <w:rFonts w:ascii="Times New Roman;serif" w:hAnsi="Times New Roman;serif"/>
          <w:b w:val="false"/>
          <w:color w:val="000000"/>
          <w:sz w:val="22"/>
        </w:rPr>
        <w:t xml:space="preserve">. The RSUs shall be entitled to be credited with dividend equivalent payments (upon the payment by the Company of dividends on shares of Common Stock), which shall accrue in cash without interest and shall be delivered in cash. Accumulated dividend equivalents shall be payable at such time as the underlying RSUs to which such dividend equivalents relate are settled in accordance with Section 3 of this RSU Agreement. For the avoidance of doubt, dividend equivalents accrued in respect of RSUs shall only be paid to the extent the underlying RSU vests and is settled. To the extent that any RSUs are forfeited and not vested and settled, the Participant shall have no right to dividend equivalent payments in respect of such forfeited and unvested RSUs. </w:t>
      </w:r>
    </w:p>
    <w:p>
      <w:pPr>
        <w:pStyle w:val="TextBody"/>
        <w:bidi w:val="0"/>
        <w:spacing w:lineRule="auto" w:line="240" w:before="0" w:after="0"/>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xml:space="preserve">. The provisions of Section 14(d) of the Plan are incorporated herein by reference and made a part hereof. The Participant acknowledges and agrees that to the extent consistent with applicable law and the Participant’s status as an independent consultant for U.S. federal income tax purposes, the Company does not intend to withhold any amounts as federal income tax withholdings under any other state or federal laws, and the Participant hereby agrees to make adequate provision for any sums required to satisfy all applicable federal, state, local and foreign tax withholding obligations of the Company which may arise in connection with the grant of RSUs. </w:t>
      </w:r>
    </w:p>
    <w:p>
      <w:pPr>
        <w:pStyle w:val="TextBody"/>
        <w:bidi w:val="0"/>
        <w:spacing w:lineRule="auto" w:line="240" w:before="0" w:after="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Notice</w:t>
      </w:r>
      <w:r>
        <w:rPr>
          <w:rFonts w:ascii="Times New Roman;serif" w:hAnsi="Times New Roman;serif"/>
          <w:b w:val="false"/>
          <w:color w:val="000000"/>
          <w:sz w:val="22"/>
        </w:rPr>
        <w:t xml:space="preserve">. Every notice or other communication relating to this RSU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Corporate Secretary, and all notices or communications by the Company to the Participant may be given to the Participant personally or may be mailed to the Participant at the Participant’s last known address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0"/>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 Right to Continued Service</w:t>
      </w:r>
      <w:r>
        <w:rPr>
          <w:rFonts w:ascii="Times New Roman;serif" w:hAnsi="Times New Roman;serif"/>
          <w:b w:val="false"/>
          <w:color w:val="000000"/>
          <w:sz w:val="22"/>
        </w:rPr>
        <w:t xml:space="preserve">. This RSU Agreement does not confer upon the Participant any right to continue as a director or other service provider to the Company. </w:t>
      </w:r>
    </w:p>
    <w:p>
      <w:pPr>
        <w:pStyle w:val="TextBody"/>
        <w:bidi w:val="0"/>
        <w:spacing w:lineRule="auto" w:line="240" w:before="0" w:after="0"/>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RSU Agreement shall be binding upon the heirs, executors, administrators and successors of the parties hereto.</w:t>
      </w:r>
    </w:p>
    <w:p>
      <w:pPr>
        <w:pStyle w:val="TextBody"/>
        <w:bidi w:val="0"/>
        <w:spacing w:lineRule="auto" w:line="240"/>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rPr>
        <w:t xml:space="preserve">Restrictive Covenants. The Participant acknowledges and recognizes the highly competitive nature of the businesses of the Company and its Affiliates and accordingly reaffirms and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agrees to, in consideration of the receipt of RSUs hereunder, in the Participant’s capacity as an equity award holder of the Company and its Affiliates, the restrictive covenants set forth on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hereto (the “</w:t>
      </w:r>
      <w:r>
        <w:rPr>
          <w:rFonts w:ascii="Times New Roman;serif" w:hAnsi="Times New Roman;serif"/>
          <w:b w:val="false"/>
          <w:color w:val="000000"/>
          <w:sz w:val="22"/>
          <w:u w:val="single"/>
        </w:rPr>
        <w:t>Restrictive Covenants</w:t>
      </w:r>
      <w:r>
        <w:rPr>
          <w:color w:val="000000"/>
        </w:rPr>
        <w:t xml:space="preserve">” </w:t>
      </w:r>
      <w:r>
        <w:rPr>
          <w:rFonts w:ascii="Times New Roman;serif" w:hAnsi="Times New Roman;serif"/>
          <w:b w:val="false"/>
          <w:color w:val="000000"/>
          <w:sz w:val="22"/>
        </w:rPr>
        <w:t>and such Appendix A, the “</w:t>
      </w:r>
      <w:r>
        <w:rPr>
          <w:rFonts w:ascii="Times New Roman;serif" w:hAnsi="Times New Roman;serif"/>
          <w:b w:val="false"/>
          <w:color w:val="000000"/>
          <w:sz w:val="22"/>
          <w:u w:val="single"/>
        </w:rPr>
        <w:t>Restrictive Covenant Appendix</w:t>
      </w:r>
      <w:r>
        <w:rPr>
          <w:color w:val="000000"/>
        </w:rPr>
        <w:t>”</w:t>
      </w:r>
      <w:r>
        <w:rPr>
          <w:rFonts w:ascii="Times New Roman;serif" w:hAnsi="Times New Roman;serif"/>
          <w:b w:val="false"/>
          <w:color w:val="000000"/>
          <w:sz w:val="22"/>
        </w:rPr>
        <w:t>). The Participant acknowledges and agrees that the remedies of the Company and its Affiliates at law for a breach or threatened breach of the Restrictive Covenants may be inadequate, and the Company and its Affiliates may suffer irreparable damages as a result of such breach or threatened breach by the Participant, regardless of whether the Participant then holds the RSUs. In recognition of this fact, the Participant agrees that, in the event of such a breach or threatened breach, in addition to any remedies at law, the Company and its Affiliates, without posting any bond, shall be entitled to (a) cease making any payments or providing any payment or providing any benefit otherwise required by this RSU Agreement and/or (b) obtain equitable relief in the form of specific performance, temporary restraining order, temporary or permanent injunction or any other equitable remedy which may then be available. For the avoidance of doubt, the Restrictive Covenants contained in this RSU Agreement are in addition to, and not in lieu of, any other restrictive covenants or similar covenants or agreements between the Participant and the Company or any of its Affiliates. For purposes of this RSU Agreement, “</w:t>
      </w:r>
      <w:r>
        <w:rPr>
          <w:rFonts w:ascii="Times New Roman;serif" w:hAnsi="Times New Roman;serif"/>
          <w:b w:val="false"/>
          <w:color w:val="000000"/>
          <w:sz w:val="22"/>
          <w:u w:val="single"/>
        </w:rPr>
        <w:t>Restrictive Covenant Violation</w:t>
      </w:r>
      <w:r>
        <w:rPr>
          <w:color w:val="000000"/>
        </w:rPr>
        <w:t xml:space="preserve">” </w:t>
      </w:r>
      <w:r>
        <w:rPr>
          <w:rFonts w:ascii="Times New Roman;serif" w:hAnsi="Times New Roman;serif"/>
          <w:b w:val="false"/>
          <w:color w:val="000000"/>
          <w:sz w:val="22"/>
        </w:rPr>
        <w:t>means the Participant’s breach of any of the Restrictive Covenants or any similar provision applicable to the Participant.</w:t>
      </w:r>
    </w:p>
    <w:p>
      <w:pPr>
        <w:pStyle w:val="TextBody"/>
        <w:bidi w:val="0"/>
        <w:spacing w:lineRule="auto" w:line="240" w:before="0" w:after="0"/>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Waiver and Amendments</w:t>
      </w:r>
      <w:r>
        <w:rPr>
          <w:rFonts w:ascii="Times New Roman;serif" w:hAnsi="Times New Roman;serif"/>
          <w:b w:val="false"/>
          <w:color w:val="000000"/>
          <w:sz w:val="22"/>
        </w:rPr>
        <w:t xml:space="preserve">. Except as otherwise set forth in Section 13 of the Plan, any waiver, alteration, amendment or modification of any of the terms of this RSU Agreement shall be valid only if made in writing and signed by the parties 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40" w:before="0" w:after="0"/>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Clawback/Forfeiture</w:t>
      </w:r>
      <w:r>
        <w:rPr>
          <w:rFonts w:ascii="Times New Roman;serif" w:hAnsi="Times New Roman;serif"/>
          <w:b w:val="false"/>
          <w:color w:val="000000"/>
          <w:sz w:val="22"/>
        </w:rPr>
        <w:t>. In the event of the Participant’s Termination by the Company or its Affiliates for Cause, or if the Company discovers within one year after a Termination that grounds for a Termination for Cause existed at the time of such Termination then, in each case, the Participant shall be required, in addition to any other remedy available (on a non-exclusive basis), to pay to the Company, within 10 business days after the Company’s request to the Participant therefor, an amount equal to the aggregate after-tax proceeds (taking into account all amounts of tax that would be recoverable upon a claim of loss for payment of such proceeds in the year of repayment) that the Participant received upon the sale or other disposition of, or distributions in respect of, the RSUs issued hereunder (including any shares of Common Stock issued upon settlement of any such RSU). Any reference in this RSU Agreement to grounds existing for a Termination for Cause shall be determined without regard to any notice period, cure period, or other procedural delay or event required prior to a finding of, or Termination for, Cause.</w:t>
      </w:r>
    </w:p>
    <w:p>
      <w:pPr>
        <w:pStyle w:val="TextBody"/>
        <w:bidi w:val="0"/>
        <w:spacing w:lineRule="auto" w:line="240" w:before="0" w:after="0"/>
        <w:ind w:left="0" w:right="0" w:firstLine="144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RSU Agreement shall be construed and interpreted in accordance with the laws of the State of Delaware, without regard to the principles of conflicts of law thereof. Notwithstanding anything contained in this RSU Agreement, the RSU Grant Notice or the Plan to the contrary, if any suit or claim is instituted by the Participant or the Company relating to this RSU Agreement, the RSU Grant Notice or the Plan, the Participant hereby submits to the exclusive jurisdiction of and venue in the courts of Delaware.</w:t>
      </w:r>
    </w:p>
    <w:p>
      <w:pPr>
        <w:pStyle w:val="TextBody"/>
        <w:bidi w:val="0"/>
        <w:spacing w:lineRule="auto" w:line="240" w:before="0" w:after="0"/>
        <w:ind w:left="0" w:right="0" w:firstLine="144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 It is intended that the RSUs granted hereunder shall be exempt from Section 409A of the Code pursuant to the “short-term deferral” rule applicable to such section, as set forth in the regulations or other guidance published by the Internal Revenue Service thereunder, and shall be interpreted consistent with such intent.</w:t>
      </w:r>
    </w:p>
    <w:p>
      <w:pPr>
        <w:pStyle w:val="TextBody"/>
        <w:bidi w:val="0"/>
        <w:spacing w:lineRule="auto" w:line="240" w:before="0" w:after="0"/>
        <w:ind w:left="0" w:right="0" w:firstLine="144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RSU Agreement, the Plan shall govern and control.</w:t>
      </w:r>
    </w:p>
    <w:p>
      <w:pPr>
        <w:pStyle w:val="TextBody"/>
        <w:bidi w:val="0"/>
        <w:spacing w:lineRule="auto" w:line="240" w:before="0" w:after="0"/>
        <w:ind w:left="0" w:right="0" w:firstLine="144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The Company reserves the right to impose other requirements on the Participant’s participation in the Plan, on the RSUs and on any shares of Common Stock acquired under the Plan, to the extent that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ind w:left="0" w:right="0" w:firstLine="144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RSU Agreement (including, without limitation, all exhibits and appendices attached hereto), the RSU Grant Notice and the Plan constitute the entire agreement of the parties hereto in respect of the subject matter contained herein and supersede all prior agreements and understandings of the parties, oral and written, with respect to such subject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Appendix A</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Restrictive Covenant Appendix</w:t>
      </w:r>
    </w:p>
    <w:p>
      <w:pPr>
        <w:pStyle w:val="TextBody"/>
        <w:bidi w:val="0"/>
        <w:spacing w:lineRule="auto" w:line="288" w:before="0" w:after="240"/>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Non-Competition</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During the Participant’s service with the Company (the “</w:t>
      </w:r>
      <w:r>
        <w:rPr>
          <w:rFonts w:ascii="Times New Roman;serif" w:hAnsi="Times New Roman;serif"/>
          <w:b w:val="false"/>
          <w:color w:val="000000"/>
          <w:sz w:val="22"/>
          <w:u w:val="single"/>
        </w:rPr>
        <w:t>Service Term</w:t>
      </w:r>
      <w:r>
        <w:rPr>
          <w:color w:val="000000"/>
        </w:rPr>
        <w:t>”</w:t>
      </w:r>
      <w:r>
        <w:rPr>
          <w:rFonts w:ascii="Times New Roman;serif" w:hAnsi="Times New Roman;serif"/>
          <w:b w:val="false"/>
          <w:color w:val="000000"/>
          <w:sz w:val="22"/>
        </w:rPr>
        <w:t>) and for a period of one year following the Service Term (the “</w:t>
      </w:r>
      <w:r>
        <w:rPr>
          <w:rFonts w:ascii="Times New Roman;serif" w:hAnsi="Times New Roman;serif"/>
          <w:b w:val="false"/>
          <w:color w:val="000000"/>
          <w:sz w:val="22"/>
          <w:u w:val="single"/>
        </w:rPr>
        <w:t>Post-Service Restriction Period</w:t>
      </w:r>
      <w:r>
        <w:rPr>
          <w:color w:val="000000"/>
        </w:rPr>
        <w:t>”</w:t>
      </w:r>
      <w:r>
        <w:rPr>
          <w:rFonts w:ascii="Times New Roman;serif" w:hAnsi="Times New Roman;serif"/>
          <w:b w:val="false"/>
          <w:color w:val="000000"/>
          <w:sz w:val="22"/>
        </w:rPr>
        <w:t xml:space="preserve">), the Participant shall not, anywhere within the Restricted Territories, directly or indirectly, own, manage, operate, control, be employed by (whether as an employee, consultant or advisor) or participate in the ownership, management, operation or control of, or be connected in any manner (including, without limitation, as a creditor, lessor or otherwise) with, any Competitive Business.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For purposes hereof, the following terms shall have the following meanings;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scope of businesses and the jurisdictions within which the Participant has agreed not to compete pursuant to Section 1(a) (i) during the Service Term shall, for any challenged activity of the Participant, be determined as of the date of any such activity, and (ii) during the Post-Service Restriction Period shall, for any challenged activity of the Participant, be determined as of the last day of the Service Term. </w:t>
      </w:r>
    </w:p>
    <w:p>
      <w:pPr>
        <w:pStyle w:val="TextBody"/>
        <w:bidi w:val="0"/>
        <w:spacing w:lineRule="auto" w:line="288" w:before="0" w:after="240"/>
        <w:ind w:left="0" w:right="0" w:firstLine="2160"/>
        <w:jc w:val="both"/>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u w:val="single"/>
        </w:rPr>
        <w:t>Competitive Business</w:t>
      </w:r>
      <w:r>
        <w:rPr>
          <w:color w:val="000000"/>
        </w:rPr>
        <w:t xml:space="preserve">” </w:t>
      </w:r>
      <w:r>
        <w:rPr>
          <w:rFonts w:ascii="Times New Roman;serif" w:hAnsi="Times New Roman;serif"/>
          <w:b w:val="false"/>
          <w:color w:val="000000"/>
          <w:sz w:val="22"/>
        </w:rPr>
        <w:t>shall mean any business, activity, enterprise or venture that conducts activities or provides products or services that compete with, or are substitutes for, any product or service conducted, offered or provided by the Company (or that the Company took reasonable steps within the preceding six (6) months to conduct, offer, or provide, and of which the Participant was aware). For the avoidance of doubt, Competitive Business shall include, but is not limited to, any business of developing, manufacturing, marketing, distributing, and billing payors for medical supplies.</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w:t>
      </w:r>
      <w:r>
        <w:rPr>
          <w:color w:val="000000"/>
        </w:rPr>
        <w:t>“</w:t>
      </w:r>
      <w:r>
        <w:rPr>
          <w:rFonts w:ascii="Times New Roman;serif" w:hAnsi="Times New Roman;serif"/>
          <w:b w:val="false"/>
          <w:color w:val="000000"/>
          <w:sz w:val="22"/>
          <w:u w:val="single"/>
        </w:rPr>
        <w:t>Family Member</w:t>
      </w:r>
      <w:r>
        <w:rPr>
          <w:color w:val="000000"/>
        </w:rPr>
        <w:t xml:space="preserve">” </w:t>
      </w:r>
      <w:r>
        <w:rPr>
          <w:rFonts w:ascii="Times New Roman;serif" w:hAnsi="Times New Roman;serif"/>
          <w:b w:val="false"/>
          <w:color w:val="000000"/>
          <w:sz w:val="22"/>
        </w:rPr>
        <w:t>shall mean, with respect to any natural Person, (w) such natural Person’s spouse, parent, siblings, descendants (including adoptive relationships and stepchildren) and the spouses of each such natural persons (each, a “</w:t>
      </w:r>
      <w:r>
        <w:rPr>
          <w:rFonts w:ascii="Times New Roman;serif" w:hAnsi="Times New Roman;serif"/>
          <w:b w:val="false"/>
          <w:color w:val="000000"/>
          <w:sz w:val="22"/>
          <w:u w:val="single"/>
        </w:rPr>
        <w:t>Related Person</w:t>
      </w:r>
      <w:r>
        <w:rPr>
          <w:color w:val="000000"/>
        </w:rPr>
        <w:t>”</w:t>
      </w:r>
      <w:r>
        <w:rPr>
          <w:rFonts w:ascii="Times New Roman;serif" w:hAnsi="Times New Roman;serif"/>
          <w:b w:val="false"/>
          <w:color w:val="000000"/>
          <w:sz w:val="22"/>
        </w:rPr>
        <w:t>), (x) a trust (including but not limited to an estate planning trust) under which distributions may be made only to such natural Person or Related Person, (y) a charitable remainder trust, the income from which will be paid to such natural Person during his or her life or (z) a corporation, partnership or limited liability company, the shareholders, partners or members of which are only such natural Person and/or his or her Related Persons.</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(iii)</w:t>
      </w:r>
      <w:r>
        <w:rPr>
          <w:color w:val="000000"/>
        </w:rPr>
        <w:t>“</w:t>
      </w:r>
      <w:r>
        <w:rPr>
          <w:rFonts w:ascii="Times New Roman;serif" w:hAnsi="Times New Roman;serif"/>
          <w:b w:val="false"/>
          <w:color w:val="000000"/>
          <w:sz w:val="22"/>
          <w:u w:val="single"/>
        </w:rPr>
        <w:t>Restricted Territories</w:t>
      </w:r>
      <w:r>
        <w:rPr>
          <w:color w:val="000000"/>
        </w:rPr>
        <w:t xml:space="preserve">” </w:t>
      </w:r>
      <w:r>
        <w:rPr>
          <w:rFonts w:ascii="Times New Roman;serif" w:hAnsi="Times New Roman;serif"/>
          <w:b w:val="false"/>
          <w:color w:val="000000"/>
          <w:sz w:val="22"/>
        </w:rPr>
        <w:t xml:space="preserve">shall mean the United States or any foreign country, state, province or territory where the Company conducts its business, directly or indirectly, or has taken reasonable steps to conduct its business. The Participant acknowledges that the geographic restrictions set forth in this Section 1 are reasonable and necessary to protect the goodwill of the business conducted by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Nothing herein shall prohibit the Participant (together with the Participant’s Family Members) from being a passive owner of not more than five percent (in the aggregate) of the outstanding stock of any class of a corporation which is publicly traded so long as none of such Persons has any active participation in the business of such corporation.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Non-Solicitation; Non-Interference</w:t>
      </w:r>
      <w:r>
        <w:rPr>
          <w:rFonts w:ascii="Times New Roman;serif" w:hAnsi="Times New Roman;serif"/>
          <w:b w:val="false"/>
          <w:color w:val="000000"/>
          <w:sz w:val="22"/>
        </w:rPr>
        <w:t xml:space="preserve">. During the Service Term and the Post-Service Restriction Period, the Participant shall not, except in the furtherance of the Participant’s duties hereunder, directly or indirectly, through another Person, (a) induce or attempt to induce any individual or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- 1 </w:t>
                            </w:r>
                            <w:r>
                              <w:rPr>
                                <w:color w:val="000000"/>
                              </w:rPr>
                              <w:t>    </w:t>
                            </w:r>
                            <w:r>
                              <w:rPr>
                                <w:rFonts w:ascii="Times New Roman;serif" w:hAnsi="Times New Roman;serif"/>
                                <w:b w:val="false"/>
                                <w:color w:val="000000"/>
                                <w:sz w:val="20"/>
                              </w:rPr>
                              <w:t>Director RSU Award Agreement – Convert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- 1 </w:t>
                      </w:r>
                      <w:r>
                        <w:rPr>
                          <w:color w:val="000000"/>
                        </w:rPr>
                        <w:t>    </w:t>
                      </w:r>
                      <w:r>
                        <w:rPr>
                          <w:rFonts w:ascii="Times New Roman;serif" w:hAnsi="Times New Roman;serif"/>
                          <w:b w:val="false"/>
                          <w:color w:val="000000"/>
                          <w:sz w:val="20"/>
                        </w:rPr>
                        <w:t>Director RSU Award Agreement – Convert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entity that is an employee or contractor of the Company to leave the employ of the Company, or in any way interfere with the relationship between the Company and any such employee or contractor, (b) hire or retain any such individual that was an employee of the Company at any time during the 12-month period immediately prior to the date on which such hiring or retention would take place, or (c) solicit or service any customer, supplier, licensee, licensor or other business relation of the Company with whom the Participant had business contact or about which the Participant had Confidential Information during the Service Term in order to induce or attempt to induce such Person to cease doing business with the Company, or in any way interfere with the relationship between any such customer, supplier, licensee or business relation and the Company (including by making any disparaging statements about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Nondisclosure</w:t>
      </w:r>
      <w:r>
        <w:rPr>
          <w:rFonts w:ascii="Times New Roman;serif" w:hAnsi="Times New Roman;serif"/>
          <w:b w:val="false"/>
          <w:color w:val="000000"/>
          <w:sz w:val="22"/>
        </w:rPr>
        <w:t>. During the course of the Participant’s employment and/or service with the Company, the Participant will have access to Confidential Information. For purposes of this Appendix A, “</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 xml:space="preserve">means all data, information, ideas, concepts, discoveries, trade secrets, inventions (regardless of whether patentable or reduced to practice), innovations, improvements, know-how, developments, techniques, methods, processes, treatments, drawings, sketches, specifications, designs, plans,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including, any such information relating to or concerning finances, sales, marketing, advertising, transition, promotions, pricing, personnel, customers, suppliers, vendors, raw partners and/or competitors. The Participant agrees that the Participant shall not, directly or indirectly, use, make available, sell, disclose or otherwise communicate to any person, other than in the course of the Participant’s duties hereunder and for the benefit of the Company, either during the Service Term or at any time thereafter, any Confidential Information or other confidential or proprietary information received from third parties subject to a duty on the part of the Company to maintain the confidentiality of such information, and to use such information only for certain limited purposes, in each case, which shall have been obtained by the Participant during the Service Term. The foregoing shall not apply to information that (a) was known to the public prior to its disclosure to the Participant, (b) becomes generally known to the public subsequent to disclosure to the Participant through no wrongful act of the Participant or any representative of the Participant, (c) becomes available to the Participant on a non-confidential basis from a source (other than the Company) which is not known by the Participant to be prohibited from disclosing such information to the Participant or (d) the Participant is required to disclose by applicable law, regulation or legal process (provided that the Participant provides the Company with prior notice of the contemplated disclosure and cooperates with the Company at its expense in seeking a protective order or other appropriate protection of such information). The terms and conditions of this Appendix A shall remain strictly confidential, and the Participant hereby agrees not to disclose the terms and conditions hereof to any person or entity, other than immediate family members, legal advisors, personal tax or financial advisors and, solely for the purpose of disclosing the limitations on the Participant’s conduct imposed by the provisions of this Section 3, prospective future employers, in each case, who agree to keep such information confidential. 18 U.S.C. §1833(b) provides: “an individual shall not be held criminally or civilly liable under any federal or state trade secret law for the disclosure of a trade secret that (A) is made (i) in confidence to a federal, state, or local government official, either directly or indirectly, to an attorney; and (ii) solely for the purpose of reporting or investigating a suspected violation of law; or (B) is made in a complaint or other document filed in a lawsuit or other proceeding, if such filing is made under seal.” Nothing in this Appendix A is intended to conflict with 18 U.S.C. §1833(b) or create liability for disclosures of trade secrets that are expressly allowed by 18 U.S.C. §1833(b). Accordingly, the Participant has the right to disclose in confidence trade secrets to federal, state and local government officials, or to an attorney, for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- 2 </w:t>
                            </w:r>
                            <w:r>
                              <w:rPr>
                                <w:color w:val="000000"/>
                              </w:rPr>
                              <w:t>    </w:t>
                            </w:r>
                            <w:r>
                              <w:rPr>
                                <w:rFonts w:ascii="Times New Roman;serif" w:hAnsi="Times New Roman;serif"/>
                                <w:b w:val="false"/>
                                <w:color w:val="000000"/>
                                <w:sz w:val="20"/>
                              </w:rPr>
                              <w:t>Director RSU Award Agreement – Convert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- 2 </w:t>
                      </w:r>
                      <w:r>
                        <w:rPr>
                          <w:color w:val="000000"/>
                        </w:rPr>
                        <w:t>    </w:t>
                      </w:r>
                      <w:r>
                        <w:rPr>
                          <w:rFonts w:ascii="Times New Roman;serif" w:hAnsi="Times New Roman;serif"/>
                          <w:b w:val="false"/>
                          <w:color w:val="000000"/>
                          <w:sz w:val="20"/>
                        </w:rPr>
                        <w:t>Director RSU Award Agreement – Convert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sole purpose of reporting or investigating a suspected violation of law. The Participant also has the right to disclose trade secrets in a document filed in a lawsuit or other proceeding, but only if the filing is made under seal and protected from public disclosure.</w:t>
      </w:r>
    </w:p>
    <w:p>
      <w:pPr>
        <w:pStyle w:val="TextBody"/>
        <w:bidi w:val="0"/>
        <w:spacing w:lineRule="auto" w:line="288"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xml:space="preserve">. The Participant shall not, whether in writing (electronically or otherwise) or orally, malign, denigrate, or disparage the Company, or any of the Company’s predecessors or successors, or any of their respective current or former directors, officers, employees, shareholders, partners, members, agents, or representatives (in any such case, to the extent known to the Participant), with respect to any of their respective past or present business activities, or otherwise publish (whether in writing (electronically or otherwise) or orally) statements that tend to portray any of the aforementioned parties in an unfavorable light;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foregoing shall not (a) prevent the Participant from exercising the Participant’s rights, if any, under the National Labor Relations Act or (b) apply to statements made by the Participant in good faith for the purposes of enforcing any of the Participant’s rights under this Appendix A or under any other agreement now or hereafter in effect, responding to incorrect public statements, defending against or bringing any claim or claims against or by the Participant, including any arbitral or administrative proceedings, so long as such statements are made in connection with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dispute brought or pending before a court, administrative body or arbitration panel and the Participant has a good faith basis for believing that the statements are true, when required to do so by law, subpoena or court order and/or when responding to any inquiry by any regulatory or investigatory organization.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Inventions</w:t>
      </w:r>
      <w:r>
        <w:rPr>
          <w:rFonts w:ascii="Times New Roman;serif" w:hAnsi="Times New Roman;serif"/>
          <w:b w:val="false"/>
          <w:color w:val="000000"/>
          <w:sz w:val="22"/>
        </w:rPr>
        <w:t>. The Participant acknowledges that all inventions, innovations, improvements, developments, methods, designs, analyses, drawings, reports and all similar or related information (whether or not patentable) which relate to the actual or reasonably anticipated business, research and development or existing or future products or services of the Company and which are conceived, developed or made by the Participant while employed by the Company, whether before or after the date of this Appendix A (“</w:t>
      </w:r>
      <w:r>
        <w:rPr>
          <w:rFonts w:ascii="Times New Roman;serif" w:hAnsi="Times New Roman;serif"/>
          <w:b w:val="false"/>
          <w:color w:val="000000"/>
          <w:sz w:val="22"/>
          <w:u w:val="single"/>
        </w:rPr>
        <w:t>Work Product</w:t>
      </w:r>
      <w:r>
        <w:rPr>
          <w:color w:val="000000"/>
        </w:rPr>
        <w:t>”</w:t>
      </w:r>
      <w:r>
        <w:rPr>
          <w:rFonts w:ascii="Times New Roman;serif" w:hAnsi="Times New Roman;serif"/>
          <w:b w:val="false"/>
          <w:color w:val="000000"/>
          <w:sz w:val="22"/>
        </w:rPr>
        <w:t xml:space="preserve">), belong to the Company. The Participant shall promptly disclose such Work Product to the Company and, at the Company’s expense, perform all actions reasonably requested by the Company (whether during or after the Service Term) to establish and confirm such ownership (including executing any assignments, consents, powers of attorney and other instruments). Any copyrightable Work Product prepared in whole or in part by the Participant in the course of the Participant’s employment by the Company will be deemed “a work made for hire” under Section 201(b) of the 1976 Copyright Act, and the Company shall own all of the rights comprised in the copyright therein. The Participant hereby assigns all right, title and interest in and to all Work Product to the Company. Without limiting the generality of the foregoing, the Participant agrees to assist the Company, at the Company’s expense, in every proper way to secure the rights of the Company in the Work Product in any and all countries, including the execution of all applications, specifications, oaths, assignments and all other instruments necessary in order to apply for and obtain rights in such Work Product and in order to assign and convey to the Company and the Company’s successors, assigns and nominees the sole and exclusive right, title and interest in and to such Work Product. The Participant further agrees that the Participant’s obligation to execute or cause to be executed, when it is in the Participant’s power to do so, any such instrument or papers shall continue after the termination of the Participant’s Service Term. If the Company is unable because of the Participant’s mental or physical incapacity or for any other reason (including the Participant’s refusal to do so after request therefor is made by the Company in writing) to secure the Participant’s signature to apply for or to pursue any application for any United States or foreign patent, trademark or copyright registrations covering Work Product assigned to the Company pursuant to this Section 5, then the Participant hereby irrevocably designates and appoints the Company and its duly authorized officers and agents as agent and attorney-in-fact to act for and in the Participant’s behalf and stead to execute and file any such applications and to do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- 3 </w:t>
                            </w:r>
                            <w:r>
                              <w:rPr>
                                <w:color w:val="000000"/>
                              </w:rPr>
                              <w:t>    </w:t>
                            </w:r>
                            <w:r>
                              <w:rPr>
                                <w:rFonts w:ascii="Times New Roman;serif" w:hAnsi="Times New Roman;serif"/>
                                <w:b w:val="false"/>
                                <w:color w:val="000000"/>
                                <w:sz w:val="20"/>
                              </w:rPr>
                              <w:t>Director RSU Award Agreement – Convert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- 3 </w:t>
                      </w:r>
                      <w:r>
                        <w:rPr>
                          <w:color w:val="000000"/>
                        </w:rPr>
                        <w:t>    </w:t>
                      </w:r>
                      <w:r>
                        <w:rPr>
                          <w:rFonts w:ascii="Times New Roman;serif" w:hAnsi="Times New Roman;serif"/>
                          <w:b w:val="false"/>
                          <w:color w:val="000000"/>
                          <w:sz w:val="20"/>
                        </w:rPr>
                        <w:t>Director RSU Award Agreement – Convert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other lawfully permitted acts to further the prosecution and issuance of patent, trademark or copyright registrations thereon with the same legal force and effect as if executed by the Participant. The Participant agrees not to apply for or pursue any application for any United States or foreign patent, trademark or copyright registrations covering any Work Product other than pursuant to this Section 5 in circumstances where such patent, trademark or copyright registrations are or have been assigned to the Company. Any written records of Work Product made by the Participant (solely or jointly with others) during the term of the Participant’s employment with the Company shall be available to, and remain the sole property of, the Company at all times.</w:t>
      </w:r>
    </w:p>
    <w:p>
      <w:pPr>
        <w:pStyle w:val="TextBody"/>
        <w:bidi w:val="0"/>
        <w:spacing w:lineRule="auto" w:line="288"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Scope and Enforcement of Covenants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Participant acknowledges that the provisions of this Appendix A</w:t>
      </w:r>
      <w:r>
        <w:rPr>
          <w:color w:val="000000"/>
        </w:rPr>
        <w:t xml:space="preserve"> </w:t>
      </w:r>
      <w:r>
        <w:rPr>
          <w:rFonts w:ascii="Times New Roman;serif" w:hAnsi="Times New Roman;serif"/>
          <w:b w:val="false"/>
          <w:color w:val="000000"/>
          <w:sz w:val="22"/>
        </w:rPr>
        <w:t>are in consideration of: (i) the grant of this Award (as defined in the Plan) and (ii) additional good and valuable consideration as set forth in the Award Agreement (as defined in the Plan) to which this Appendix A is attached. In addition, the Participant agrees and acknowledges that the restrictions contained in Section 1 and 2</w:t>
      </w:r>
      <w:r>
        <w:rPr>
          <w:color w:val="000000"/>
        </w:rPr>
        <w:t xml:space="preserve"> </w:t>
      </w:r>
      <w:r>
        <w:rPr>
          <w:rFonts w:ascii="Times New Roman;serif" w:hAnsi="Times New Roman;serif"/>
          <w:b w:val="false"/>
          <w:color w:val="000000"/>
          <w:sz w:val="22"/>
        </w:rPr>
        <w:t>do not preclude the Participant from earning a livelihood, nor do they unreasonably impose limitations on the Participant’s ability to earn a living. In addition, the Participant agrees and acknowledges that the potential harm to the Company of the non-enforcement of this Appendix A</w:t>
      </w:r>
      <w:r>
        <w:rPr>
          <w:color w:val="000000"/>
        </w:rPr>
        <w:t xml:space="preserve"> </w:t>
      </w:r>
      <w:r>
        <w:rPr>
          <w:rFonts w:ascii="Times New Roman;serif" w:hAnsi="Times New Roman;serif"/>
          <w:b w:val="false"/>
          <w:color w:val="000000"/>
          <w:sz w:val="22"/>
        </w:rPr>
        <w:t>outweighs any potential harm to the Participant of their enforcement by injunction or otherwise. The Participant acknowledges that the Participant has carefully read this Appendix A and has given careful consideration to the restraints imposed upon the Participant by this Appendix A, and is in full accord as to their necessity for the reasonable and proper protection of confidential and proprietary information of the Company now existing or to be developed in the future. The Participant expressly acknowledges and agrees that each and every restraint imposed by this Appendix A is reasonable with respect to subject matter and time period. It is specifically recognized by the Participant that his or her services to the Company are special, unique, and of extraordinary value, that the Company has a protectable interest in the obligations imposed on the Participant as provided in this Appendix A and that money damages are insufficient to protect such interest, that there is adequate consideration being provided to the Participant hereunder, that such prohibitions would be necessary and appropriate without regard to payments being made to the Participant hereunder, and that the Company would not enter into this Award Agreement with the Participant without the restrictions in this Appendix A. The Participant further acknowledges that the provisions of this Appendix A are separate and independent of the other sections of this Award Agreement. In the event that the agreements in this Appendix A shall be determined by any court of competent jurisdiction to be unenforceable by reason of their extending for too great a period of time or over too great a geographical area or by reason of their being too extensive in any other respect, they shall be interpreted to extend only over the maximum period of time for which they may be enforceable and/or over the maximum geographical area as to which they may be enforceable and/or to the maximum extent in all other respects as to which they may be enforceable, all as determined by such court in such action. The period of time during which the provisions of Sections 1 and 2 shall be in effect shall be extended by the length of time during which the Participant is in breach of the terms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anything to the contrary herein, the Participant acknowledges and agrees that (i) the Company may amend any provision of this Appendix A as it may deem in its discretion to be necessary or advisable to conform such provision to the requirements of, or increase the enforceability of such provision under, applicable law, and no such amendment shall require the consent of the Participant so long as such amendment does not impose a greater restraint on the Participant than is imposed by such provision as in effect prior to such amendment, and (ii) the Company may, in its discretion, elect to provide additional consideration to the Participant as the Company may deem necessary or advisable to conform any provision of this Appendix A to the requirements of, or increase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- 4 </w:t>
                            </w:r>
                            <w:r>
                              <w:rPr>
                                <w:color w:val="000000"/>
                              </w:rPr>
                              <w:t>    </w:t>
                            </w:r>
                            <w:r>
                              <w:rPr>
                                <w:rFonts w:ascii="Times New Roman;serif" w:hAnsi="Times New Roman;serif"/>
                                <w:b w:val="false"/>
                                <w:color w:val="000000"/>
                                <w:sz w:val="20"/>
                              </w:rPr>
                              <w:t>Director RSU Award Agreement – Convert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- 4 </w:t>
                      </w:r>
                      <w:r>
                        <w:rPr>
                          <w:color w:val="000000"/>
                        </w:rPr>
                        <w:t>    </w:t>
                      </w:r>
                      <w:r>
                        <w:rPr>
                          <w:rFonts w:ascii="Times New Roman;serif" w:hAnsi="Times New Roman;serif"/>
                          <w:b w:val="false"/>
                          <w:color w:val="000000"/>
                          <w:sz w:val="20"/>
                        </w:rPr>
                        <w:t>Director RSU Award Agreement – Convert</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 enforceability of such provision under, applicable law;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each case of (i) and (ii), the Company shall provide prompt written notice thereof to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rPr>
        <w:t>If the Participant primarily resides and/or primarily provides service in one of the jurisdictions included in Annex 1 hereto, to the extent required by applicable law, the provisions contained therein shall govern and control with respect to this Appendix A. The Participant (i) is advised to consult with an attorney regarding the terms and conditions of this Appendix A (including the supplemental restrictive covenants terms within Annex 1 hereto) before signing it and (ii) acknowledges the receipt of such Company advice and has had the opportunity to seek counsel. The Participant acknowledges and agrees that Company may issue updates to Annex 1 from time to time (including the addition of states) to either narrow the scope of a particular restriction or to comply with applicable law, and the Participant hereby consents to any such updates. In the event that the Participant is not subject to any provision in this Appendix A as of the effective date of this Award Agreement because of an applicable salary or other compensation or duties-based threshold, if at any time during the Participant’s service period the Participant becomes eligible for such provision, except where prohibited by applicable law, such provision shall apply to the Participant from the date of such eligibility.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Independent Obligations</w:t>
      </w:r>
      <w:r>
        <w:rPr>
          <w:rFonts w:ascii="Times New Roman;serif" w:hAnsi="Times New Roman;serif"/>
          <w:b w:val="false"/>
          <w:color w:val="000000"/>
          <w:sz w:val="22"/>
        </w:rPr>
        <w:t>. The provisions of this Appendix A (including Annex 1 hereto) are intended to be cumulative and are intended to be independent obligations of the Participant, and shall not be affected by any similar provisions contained in any other agreement entered into by the Participant and the Company or any policy adopted by the Company applicable to its directors generally.</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- 5 </w:t>
                            </w:r>
                            <w:r>
                              <w:rPr>
                                <w:color w:val="000000"/>
                              </w:rPr>
                              <w:t>    </w:t>
                            </w:r>
                            <w:r>
                              <w:rPr>
                                <w:rFonts w:ascii="Times New Roman;serif" w:hAnsi="Times New Roman;serif"/>
                                <w:b w:val="false"/>
                                <w:color w:val="000000"/>
                                <w:sz w:val="20"/>
                              </w:rPr>
                              <w:t>Director RSU Award Agreement – Convert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- 5 </w:t>
                      </w:r>
                      <w:r>
                        <w:rPr>
                          <w:color w:val="000000"/>
                        </w:rPr>
                        <w:t>    </w:t>
                      </w:r>
                      <w:r>
                        <w:rPr>
                          <w:rFonts w:ascii="Times New Roman;serif" w:hAnsi="Times New Roman;serif"/>
                          <w:b w:val="false"/>
                          <w:color w:val="000000"/>
                          <w:sz w:val="20"/>
                        </w:rPr>
                        <w:t>Director RSU Award Agreement – Convert</w:t>
                      </w:r>
                    </w:p>
                  </w:txbxContent>
                </v:textbox>
                <w10:wrap type="none"/>
              </v:rect>
            </w:pict>
          </mc:Fallback>
        </mc:AlternateConten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- 6 </w:t>
                            </w:r>
                            <w:r>
                              <w:rPr>
                                <w:color w:val="000000"/>
                              </w:rPr>
                              <w:t>    </w:t>
                            </w:r>
                            <w:r>
                              <w:rPr>
                                <w:rFonts w:ascii="Times New Roman;serif" w:hAnsi="Times New Roman;serif"/>
                                <w:b w:val="false"/>
                                <w:color w:val="000000"/>
                                <w:sz w:val="20"/>
                              </w:rPr>
                              <w:t>Director RSU Award Agreement – Convert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0"/>
                        <w:jc w:val="left"/>
                        <w:rPr/>
                      </w:pPr>
                      <w:r>
                        <w:rPr>
                          <w:rFonts w:ascii="Times New Roman;serif" w:hAnsi="Times New Roman;serif"/>
                          <w:b w:val="false"/>
                          <w:color w:val="000000"/>
                          <w:sz w:val="22"/>
                        </w:rPr>
                        <w:t xml:space="preserve">Appendix A - 6 </w:t>
                      </w:r>
                      <w:r>
                        <w:rPr>
                          <w:color w:val="000000"/>
                        </w:rPr>
                        <w:t>    </w:t>
                      </w:r>
                      <w:r>
                        <w:rPr>
                          <w:rFonts w:ascii="Times New Roman;serif" w:hAnsi="Times New Roman;serif"/>
                          <w:b w:val="false"/>
                          <w:color w:val="000000"/>
                          <w:sz w:val="20"/>
                        </w:rPr>
                        <w:t>Director RSU Award Agreement – Convert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1 to APPENDIX A</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State Restrictive Covenant Supplement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Capitalized terms used but not defined herein shall have the meanings set forth in the Plan and the RSU Agreement. </w:t>
      </w:r>
    </w:p>
    <w:tbl>
      <w:tblPr>
        <w:tblW w:w="10205" w:type="dxa"/>
        <w:jc w:val="left"/>
        <w:tblInd w:w="0" w:type="dxa"/>
        <w:tblLayout w:type="fixed"/>
        <w:tblCellMar>
          <w:top w:w="28" w:type="dxa"/>
          <w:left w:w="28" w:type="dxa"/>
          <w:bottom w:w="28" w:type="dxa"/>
          <w:right w:w="28" w:type="dxa"/>
        </w:tblCellMar>
      </w:tblPr>
      <w:tblGrid>
        <w:gridCol w:w="4398"/>
        <w:gridCol w:w="2399"/>
        <w:gridCol w:w="3408"/>
      </w:tblGrid>
      <w:tr>
        <w:trPr/>
        <w:tc>
          <w:tcPr>
            <w:tcW w:w="4398"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FLORIDA</w:t>
            </w:r>
          </w:p>
          <w:p>
            <w:pPr>
              <w:pStyle w:val="TableContents"/>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If the Participant is primarily a resident of, or primarily provides services in, Florida on (i) the Date of Grant or (ii) the date of Termination, notwithstanding anything in the Award Agreement to the contrary, the Award Agreement shall be governed by Florida law, without regard to principles of conflicts of law.</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ILLINOIS</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Participant is primarily a resident of, or primarily provides services in, Illinois on (i) the Date of Grant or (ii) the date of Termination:</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Section 1 of Appendix A shall not apply after the date of Termination unless the Participant’s actual or expected annual rate of “earnings” (as defined by Illinois law) exceeds $75,000 per year (which is the threshold amount through the end of 2026, after which this amount will increase in $5,000 increments in each of 2027, 2032, and 2037, with $90,000 as the minimum threshold amount in 2037).</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Section 2 of Appendix A shall not apply after the date of Termination unless the Participant’s actual or expected annual rate of “earnings” (as defined by Illinois law) exceeds $45,000 per year (which is the threshold amount through the end of 2026, after which this amount will increase in $2,500 increments in each of 2027, 2032, and 2037, with $52,500 as the minimum threshold amount in 2037); and</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the Participant has been provided a copy of Appendix A (including this Annex 1) at least 14 calendar days before the commencement of the employee’s services, or the employee may take up to 14 calendar days to review Appendix A (including this Annex 1) before signing the Award Agreement. In the event such notice period has not been sufficiently met, Sections 1 and 2 of Appendix A shall not be enforceable until 14 calendar days following the date the Participant was provided a copy of Appendix A (including this Annex 1). </w:t>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MASSACHUSETTS</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Participant is, and has been for at least 30 days immediately preceding the date of Termination, a resident of, or primarily providing services in, the Commonwealth of Massachusetts:</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Section 1 of Appendix A shall not apply after the date of Termination, if the Participant is terminated without Cause (as modified by this Massachusetts supplement);</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With respect to Section 1 of Appendix A, the Post-Service Restriction Period shall not exceed 12 months from the date of Termination, unless the Participant has breached his or her fiduciary duty to the Company or the Participant has unlawfully taken, physically or electronically, property belonging to the Company, in which case the Post-Service Restriction Period may not exceed 2 years from the date of Termination;</w:t>
            </w:r>
          </w:p>
          <w:p>
            <w:pPr>
              <w:pStyle w:val="TableContents"/>
              <w:bidi w:val="0"/>
              <w:spacing w:lineRule="auto" w:line="288" w:before="0" w:after="240"/>
              <w:ind w:left="0" w:right="0" w:firstLine="1440"/>
              <w:jc w:val="both"/>
              <w:rPr/>
            </w:pPr>
            <w:r>
              <w:rPr>
                <w:rFonts w:ascii="Times New Roman;serif" w:hAnsi="Times New Roman;serif"/>
                <w:b w:val="false"/>
                <w:color w:val="000000"/>
                <w:sz w:val="22"/>
              </w:rPr>
              <w:t>(c)    The Company, at its discretion, including based on a determination by the Company, in its discretion, that additional consideration is required by Massachusetts law to render Section 1 of Appendix A enforceable, may elect to enforce such covenant by making garden leave payments to the Participant during the Post-Service Restriction Period (but for no more than 12 months following the date of Termination) at a rate of up to 50% of the highest annualized base salary or service fees, as applicable, paid to the Participant by the Company within the 2-year period preceding the date of Termination (“</w:t>
            </w:r>
            <w:r>
              <w:rPr>
                <w:rFonts w:ascii="Times New Roman;serif" w:hAnsi="Times New Roman;serif"/>
                <w:b w:val="false"/>
                <w:color w:val="000000"/>
                <w:sz w:val="22"/>
                <w:u w:val="single"/>
              </w:rPr>
              <w:t>Garden Leave Payments</w:t>
            </w:r>
            <w:r>
              <w:rPr>
                <w:color w:val="000000"/>
              </w:rPr>
              <w:t>”</w:t>
            </w:r>
            <w:r>
              <w:rPr>
                <w:rFonts w:ascii="Times New Roman;serif" w:hAnsi="Times New Roman;serif"/>
                <w:b w:val="false"/>
                <w:color w:val="000000"/>
                <w:sz w:val="22"/>
              </w:rPr>
              <w:t>). Any Garden Leave Payments paid to the Participant pursuant to this Massachusetts supplement may be reduced based on consideration of the Fair Market Value of the incentive compensation provided pursuant to the Award Agreement and determined in good faith by the Company as of the date of Termination or by (or may reduce and not be in addition to) any severance or separation pay that the Participant is otherwise entitled to receive from any member of the Company pursuant to an agreement, plan, or otherwise;</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Company, in its sole discretion, may elect at any time prior to the date of Termination, or on such later date to the extent permitted by applicable law, to waive the restrictions set forth in Section 1 of Appendix A, upon which such waiver shall automatically terminate the Company’s obligations to compensate the Participant under Section (c) of this Massachusetts supplement. In such event, the Participant shall have no further obligations under Section 1 of Appendix A. Such waiver shall be in writing, and shall have no effect on the Participant’s obligations under the remainder of the restrictive covenants contained in this Annex 1, which shall continue in full force and effect in all respects. The Participant acknowledges and agrees that nothing in this Section (d) gives the Participant an election as to compliance with Section 1 of Appendix A;</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For purposes of enforcement of Section 1 of Appendix A (and no other provision of the Award Agreement or the Plan), “Cause” shall include any good faith determination by the Company that the Participant has significantly underperformed in providing services to the Company or engaged in conduct or behavior that violates any policy of the Company or is detrimental to the Company or any of its subsidiaries or affiliates or its reputation;</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Participant acknowledges and agrees that the benefits provided by the Award Agreement and the Garden Leave Payments (where applicable) constitute sufficient mutually agreed-upon consideration for Section 1 of Appendix A; and</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If the Participant is a current employee, the Participant’s agreement to the non-competition covenant in Section 1 of Appendix A shall be effective upon the later of the Participant’s (i) acceptance of the award or (ii) the date that is 10 business days after the Participant was provided with notice of the non-competition agreement. If the Participant is a prospective employee or new hire of the Company, the Participant acknowledges that the Participant was provided with a copy of the non-competition covenant in Section 1 of Appendix A by the earlier of the Participant’s (i) formal offer of employment or (ii) the date that is 10 business days before the Participant’s commencement of employment. In the event such notice period has not been sufficiently met, Section 1 of Appendix A shall not be enforceable until 10 business days following the date the Participant was provided with a copy of the non-competition covenant in Section 1 of Appendix 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31" name="Frame2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2880"/>
                              <w:jc w:val="left"/>
                              <w:rPr/>
                            </w:pPr>
                            <w:r>
                              <w:rPr>
                                <w:rFonts w:ascii="Times New Roman;serif" w:hAnsi="Times New Roman;serif"/>
                                <w:b w:val="false"/>
                                <w:color w:val="000000"/>
                                <w:sz w:val="20"/>
                              </w:rPr>
                              <w:t>Annex 1 to Appendix A - 1     </w:t>
                            </w:r>
                            <w:r>
                              <w:rPr>
                                <w:rFonts w:ascii="Times New Roman;serif" w:hAnsi="Times New Roman;serif"/>
                                <w:b w:val="false"/>
                                <w:color w:val="000000"/>
                                <w:sz w:val="18"/>
                              </w:rPr>
                              <w:t>Director RSU Award Agreement – Convert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2880"/>
                        <w:jc w:val="left"/>
                        <w:rPr/>
                      </w:pPr>
                      <w:r>
                        <w:rPr>
                          <w:rFonts w:ascii="Times New Roman;serif" w:hAnsi="Times New Roman;serif"/>
                          <w:b w:val="false"/>
                          <w:color w:val="000000"/>
                          <w:sz w:val="20"/>
                        </w:rPr>
                        <w:t>Annex 1 to Appendix A - 1     </w:t>
                      </w:r>
                      <w:r>
                        <w:rPr>
                          <w:rFonts w:ascii="Times New Roman;serif" w:hAnsi="Times New Roman;serif"/>
                          <w:b w:val="false"/>
                          <w:color w:val="000000"/>
                          <w:sz w:val="18"/>
                        </w:rPr>
                        <w:t>Director RSU Award Agreement – Convert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28"/>
        <w:gridCol w:w="2847"/>
        <w:gridCol w:w="4030"/>
      </w:tblGrid>
      <w:tr>
        <w:trPr/>
        <w:tc>
          <w:tcPr>
            <w:tcW w:w="3328"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3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NEW HAMPSHIRE</w:t>
            </w:r>
          </w:p>
          <w:p>
            <w:pPr>
              <w:pStyle w:val="TableContents"/>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the Participant is primarily a resident of, or primarily provides services in, New Hampshire on (i) the Date of Grant or (ii) the date of Termination: </w:t>
            </w:r>
          </w:p>
          <w:p>
            <w:pPr>
              <w:pStyle w:val="TableContents"/>
              <w:bidi w:val="0"/>
              <w:spacing w:lineRule="auto" w:line="288" w:before="240" w:after="240"/>
              <w:ind w:left="0" w:right="0" w:firstLine="1420"/>
              <w:jc w:val="both"/>
              <w:rPr>
                <w:rFonts w:ascii="Times New Roman;serif" w:hAnsi="Times New Roman;serif"/>
                <w:b w:val="false"/>
                <w:color w:val="000000"/>
                <w:sz w:val="22"/>
              </w:rPr>
            </w:pPr>
            <w:r>
              <w:rPr>
                <w:rFonts w:ascii="Times New Roman;serif" w:hAnsi="Times New Roman;serif"/>
                <w:b w:val="false"/>
                <w:color w:val="000000"/>
                <w:sz w:val="22"/>
              </w:rPr>
              <w:t>(a)Section 1 of Appendix A shall not apply after the date of Termination, if the Participant earns an hourly rate that is less than or equal to (i) 200% of the federal minimum wage or (ii) 200% of the tipped minimum wage pursuant to New Hampshire law; and</w:t>
            </w:r>
          </w:p>
          <w:p>
            <w:pPr>
              <w:pStyle w:val="TableContents"/>
              <w:bidi w:val="0"/>
              <w:spacing w:lineRule="auto" w:line="288" w:before="240" w:after="240"/>
              <w:ind w:left="0" w:right="0" w:firstLine="1420"/>
              <w:jc w:val="both"/>
              <w:rPr>
                <w:rFonts w:ascii="Times New Roman;serif" w:hAnsi="Times New Roman;serif"/>
                <w:b w:val="false"/>
                <w:color w:val="000000"/>
                <w:sz w:val="22"/>
              </w:rPr>
            </w:pPr>
            <w:r>
              <w:rPr>
                <w:rFonts w:ascii="Times New Roman;serif" w:hAnsi="Times New Roman;serif"/>
                <w:b w:val="false"/>
                <w:color w:val="000000"/>
                <w:sz w:val="22"/>
              </w:rPr>
              <w:t>(b)If the Participant is a prospective service provider, the Participant acknowledges and agrees that the Participant has received the noncompetition and other restrictive covenants set forth in Appendix A (as modified by this Annex 1) prior to the Participant’s acceptance of any offer of employment with the Company. In the event such notice period has not been sufficiently met, Section 1 of Appendix A shall not be enforceable until one (1) day following the Date of Grant.</w:t>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OREGON</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Participant is primarily a resident of, or primarily provides services in, Oregon on (i) the Date of Grant or (ii) the date of Termination:</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Section 1 of Appendix A shall not apply after the date of Termination, unless:</w:t>
            </w:r>
          </w:p>
          <w:p>
            <w:pPr>
              <w:pStyle w:val="TableContents"/>
              <w:bidi w:val="0"/>
              <w:spacing w:lineRule="auto" w:line="300" w:before="24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the award was granted in connection with either (A) a written employment offer that provided, at least two (2) weeks’ notice before the first day of employment, that a non-competition agreement was required or (B) the Participant’s subsequent bona fide advancement; provided that, in the event the notice period set forth in clause (A) has not been sufficiently met, Section 1 of Appendix A shall not be enforceable until two (2) weeks following the date the Participant was provided with a copy of the non-competition covenant in Section 1 of Appendix A, and </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the Participant’s total annual compensation, including commissions, as of the date of Termination, exceeds $116,427 (which is the threshold amount for 2025 and subject to annual adjustments for inflation based on adjustments to the Consumer Price Index for All Urban Consumers, West Region (All Items), as published by the Bureau of Labor Statistics of the US Department of Labor), unless the Company provides the Participant compensation during the Post-Service Restriction Period, in which Section 1 of Appendix A applies, in an amount equal to the greater of 50% of the Participant’s annual gross base salary and commissions as of the date of Termination or 50% of $116,427 (which is the threshold amount for 2025 and subject to annual adjustments pursuant to Oregon law as described in this provision) during the Post-Service Restriction Period. </w:t>
            </w:r>
          </w:p>
          <w:p>
            <w:pPr>
              <w:pStyle w:val="TableContents"/>
              <w:bidi w:val="0"/>
              <w:spacing w:lineRule="auto" w:line="288" w:before="0" w:after="240"/>
              <w:ind w:left="0" w:right="0" w:firstLine="1440"/>
              <w:jc w:val="both"/>
              <w:rPr/>
            </w:pPr>
            <w:r>
              <w:rPr>
                <w:rFonts w:ascii="Times New Roman;serif" w:hAnsi="Times New Roman;serif"/>
                <w:b w:val="false"/>
                <w:color w:val="000000"/>
                <w:sz w:val="22"/>
              </w:rPr>
              <w:t>(b)    The Company shall provide the Participant a signed copy of the Award</w:t>
            </w:r>
            <w:r>
              <w:rPr>
                <w:color w:val="000000"/>
                <w:u w:val="single"/>
              </w:rPr>
              <w:t xml:space="preserve"> </w:t>
            </w:r>
            <w:r>
              <w:rPr>
                <w:rFonts w:ascii="Times New Roman;serif" w:hAnsi="Times New Roman;serif"/>
                <w:b w:val="false"/>
                <w:color w:val="000000"/>
                <w:sz w:val="22"/>
              </w:rPr>
              <w:t>Agreement within 30 days following the date of Termination.</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Section 1 of Appendix A shall not apply for more than 12 months after the date of Termination.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32"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2880"/>
                              <w:jc w:val="left"/>
                              <w:rPr/>
                            </w:pPr>
                            <w:r>
                              <w:rPr>
                                <w:rFonts w:ascii="Times New Roman;serif" w:hAnsi="Times New Roman;serif"/>
                                <w:b w:val="false"/>
                                <w:color w:val="000000"/>
                                <w:sz w:val="20"/>
                              </w:rPr>
                              <w:t>Annex 1 to Appendix A - 2     </w:t>
                            </w:r>
                            <w:r>
                              <w:rPr>
                                <w:rFonts w:ascii="Times New Roman;serif" w:hAnsi="Times New Roman;serif"/>
                                <w:b w:val="false"/>
                                <w:color w:val="000000"/>
                                <w:sz w:val="18"/>
                              </w:rPr>
                              <w:t>Director RSU Award Agreement – Convert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2880"/>
                        <w:jc w:val="left"/>
                        <w:rPr/>
                      </w:pPr>
                      <w:r>
                        <w:rPr>
                          <w:rFonts w:ascii="Times New Roman;serif" w:hAnsi="Times New Roman;serif"/>
                          <w:b w:val="false"/>
                          <w:color w:val="000000"/>
                          <w:sz w:val="20"/>
                        </w:rPr>
                        <w:t>Annex 1 to Appendix A - 2     </w:t>
                      </w:r>
                      <w:r>
                        <w:rPr>
                          <w:rFonts w:ascii="Times New Roman;serif" w:hAnsi="Times New Roman;serif"/>
                          <w:b w:val="false"/>
                          <w:color w:val="000000"/>
                          <w:sz w:val="18"/>
                        </w:rPr>
                        <w:t>Director RSU Award Agreement – Convert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VIRGINIA</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the Participant is primarily a resident of, or primarily provides services in, Virginia on (i) the Date of Grant or (ii) the date of Termination: </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Section 1 of Appendix A shall not apply after the date of Termination, if the Participant is considered a “low-wage employee”, which is defined as anyone (i) earning, over a rolling 52-week period preceding the date of Termination, less than Virginia’s average weekly wage, which for the first quarter of 2025 was equivalent to approximately $76,082 annually or (ii) who, regardless of average weekly wage, is overtime eligible under the Fair Labor Standards Act. A low-wage employee does not include an employee whose earnings are derived, in whole or in predominant part, from sales commissions, incentives, or bonuses; and</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Sections 1 and 2(c) of Appendix A shall not prohibit the Participant from providing services to the Company’s customers or clients during the Post-Service Restriction Period, if the Participant does not initiate contact with or solicit such customer or client, to the extent required by Virginia law.</w:t>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WISCONSIN</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Participant is primarily a resident of, or primarily provides services in, Wisconsin on (i) the Date of Grant or (ii) the date of Termination:</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For the Post-Service Restriction Period, Section 2(c) of Appendix A shall only apply to current (rather than prospective) customers, suppliers, licensees or other business relations;</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Section 1 of Appendix A shall not apply for more than one year after the date of Termination; </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Sections 2(a) and 2(b) of Appendix A shall be limited to employees with whom Participant had a working relationship or about whom the Participant acquired or possessed specialized knowledge or Confidential Information, in each case, in connection with the Participant’s employment with or service to the Company; and</w:t>
            </w:r>
          </w:p>
          <w:p>
            <w:pPr>
              <w:pStyle w:val="TableContents"/>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Section 3 of Appendix A shall remain in effect until three years following the date of Termination with respect to Confidential Information that is not a trade secret, and, with respect to trade secrets, for as long as the information is a trade secret.</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333333"/>
          <w:sz w:val="22"/>
        </w:rPr>
      </w:pPr>
      <w:r>
        <w:rPr>
          <w:rFonts w:ascii="Times New Roman;serif" w:hAnsi="Times New Roman;serif"/>
          <w:b/>
          <w:color w:val="333333"/>
          <w:sz w:val="22"/>
        </w:rPr>
        <w:t>Exhibit 19.1</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3" name="Frame2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2880"/>
                              <w:jc w:val="left"/>
                              <w:rPr/>
                            </w:pPr>
                            <w:r>
                              <w:rPr>
                                <w:rFonts w:ascii="Times New Roman;serif" w:hAnsi="Times New Roman;serif"/>
                                <w:b w:val="false"/>
                                <w:color w:val="000000"/>
                                <w:sz w:val="20"/>
                              </w:rPr>
                              <w:t>Annex 1 to Appendix A - 3     </w:t>
                            </w:r>
                            <w:r>
                              <w:rPr>
                                <w:rFonts w:ascii="Times New Roman;serif" w:hAnsi="Times New Roman;serif"/>
                                <w:b w:val="false"/>
                                <w:color w:val="000000"/>
                                <w:sz w:val="18"/>
                              </w:rPr>
                              <w:t>Director RSU Award Agreement – Convert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ind w:left="0" w:right="0" w:firstLine="2880"/>
                        <w:jc w:val="left"/>
                        <w:rPr/>
                      </w:pPr>
                      <w:r>
                        <w:rPr>
                          <w:rFonts w:ascii="Times New Roman;serif" w:hAnsi="Times New Roman;serif"/>
                          <w:b w:val="false"/>
                          <w:color w:val="000000"/>
                          <w:sz w:val="20"/>
                        </w:rPr>
                        <w:t>Annex 1 to Appendix A - 3     </w:t>
                      </w:r>
                      <w:r>
                        <w:rPr>
                          <w:rFonts w:ascii="Times New Roman;serif" w:hAnsi="Times New Roman;serif"/>
                          <w:b w:val="false"/>
                          <w:color w:val="000000"/>
                          <w:sz w:val="18"/>
                        </w:rPr>
                        <w:t>Director RSU Award Agreement – Convert</w:t>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Medline Inc.</w:t>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lineRule="auto" w:line="240" w:before="0" w:after="200"/>
        <w:ind w:left="0" w:right="0" w:hanging="360"/>
        <w:jc w:val="both"/>
        <w:rPr/>
      </w:pPr>
      <w:r>
        <w:rPr>
          <w:rFonts w:ascii="sans-serif" w:hAnsi="sans-serif"/>
          <w:b/>
          <w:color w:val="002060"/>
          <w:sz w:val="24"/>
        </w:rPr>
        <w:t>1.</w:t>
      </w:r>
      <w:r>
        <w:rPr>
          <w:rFonts w:ascii="Times New Roman;serif" w:hAnsi="Times New Roman;serif"/>
          <w:b/>
          <w:color w:val="000000"/>
          <w:sz w:val="22"/>
        </w:rPr>
        <w:t>Statement of Policy</w:t>
      </w:r>
    </w:p>
    <w:p>
      <w:pPr>
        <w:pStyle w:val="TextBody"/>
        <w:bidi w:val="0"/>
        <w:spacing w:lineRule="auto" w:line="288" w:before="0" w:after="200"/>
        <w:ind w:left="0" w:right="0" w:hanging="677"/>
        <w:jc w:val="both"/>
        <w:rPr/>
      </w:pPr>
      <w:r>
        <w:rPr>
          <w:rFonts w:ascii="sans-serif" w:hAnsi="sans-serif"/>
          <w:b w:val="false"/>
          <w:color w:val="0070C0"/>
          <w:sz w:val="22"/>
        </w:rPr>
        <w:t>1.1</w:t>
      </w:r>
      <w:r>
        <w:rPr>
          <w:rFonts w:ascii="Times New Roman;serif" w:hAnsi="Times New Roman;serif"/>
          <w:b w:val="false"/>
          <w:color w:val="000000"/>
          <w:sz w:val="22"/>
        </w:rPr>
        <w:t>Medline Inc. (together with its subsidiaries, “</w:t>
      </w:r>
      <w:r>
        <w:rPr>
          <w:rFonts w:ascii="Times New Roman;serif" w:hAnsi="Times New Roman;serif"/>
          <w:b/>
          <w:color w:val="000000"/>
          <w:sz w:val="22"/>
        </w:rPr>
        <w:t>Medline</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has adopted this Insider Trading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xml:space="preserve">) to promote compliance with securities laws, protect Medline’s reputation for integrity and ethical conduct, and provide guidance and expectations to the Company’s directors, officers, and other employees with respect to transactions in the Company’s securities and the securities of the Company’s business partners (as defined below). Failure to follow this Policy may result in termination of employment, as well as severe civil and criminal penalties. </w:t>
      </w:r>
    </w:p>
    <w:p>
      <w:pPr>
        <w:pStyle w:val="TextBody"/>
        <w:bidi w:val="0"/>
        <w:spacing w:lineRule="auto" w:line="288" w:before="0" w:after="200"/>
        <w:ind w:left="0" w:right="0" w:hanging="677"/>
        <w:jc w:val="both"/>
        <w:rPr/>
      </w:pPr>
      <w:r>
        <w:rPr>
          <w:rFonts w:ascii="sans-serif" w:hAnsi="sans-serif"/>
          <w:b w:val="false"/>
          <w:color w:val="0070C0"/>
          <w:sz w:val="22"/>
        </w:rPr>
        <w:t>1.2</w:t>
      </w:r>
      <w:r>
        <w:rPr>
          <w:rFonts w:ascii="Times New Roman;serif" w:hAnsi="Times New Roman;serif"/>
          <w:b/>
          <w:color w:val="000000"/>
          <w:sz w:val="22"/>
        </w:rPr>
        <w:t>Key Principles</w:t>
      </w:r>
      <w:r>
        <w:rPr>
          <w:rFonts w:ascii="Times New Roman;serif" w:hAnsi="Times New Roman;serif"/>
          <w:b w:val="false"/>
          <w:color w:val="000000"/>
          <w:sz w:val="22"/>
        </w:rPr>
        <w:t>.</w:t>
      </w:r>
    </w:p>
    <w:p>
      <w:pPr>
        <w:pStyle w:val="TextBody"/>
        <w:bidi w:val="0"/>
        <w:spacing w:lineRule="auto" w:line="240" w:before="0" w:after="200"/>
        <w:ind w:left="0" w:right="0" w:hanging="360"/>
        <w:jc w:val="both"/>
        <w:rPr/>
      </w:pPr>
      <w:r>
        <w:rPr>
          <w:rFonts w:ascii="sans-serif" w:hAnsi="sans-serif"/>
          <w:b w:val="false"/>
          <w:color w:val="0070C0"/>
          <w:sz w:val="22"/>
        </w:rPr>
        <w:t>1.2.1.</w:t>
      </w:r>
      <w:r>
        <w:rPr>
          <w:rFonts w:ascii="Times New Roman;serif" w:hAnsi="Times New Roman;serif"/>
          <w:b w:val="false"/>
          <w:color w:val="000000"/>
          <w:sz w:val="22"/>
        </w:rPr>
        <w:t>We do not trade in securities when we are aware of material nonpublic information.</w:t>
      </w:r>
    </w:p>
    <w:p>
      <w:pPr>
        <w:pStyle w:val="TextBody"/>
        <w:bidi w:val="0"/>
        <w:spacing w:lineRule="auto" w:line="240" w:before="0" w:after="200"/>
        <w:ind w:left="0" w:right="0" w:hanging="360"/>
        <w:jc w:val="both"/>
        <w:rPr/>
      </w:pPr>
      <w:r>
        <w:rPr>
          <w:rFonts w:ascii="sans-serif" w:hAnsi="sans-serif"/>
          <w:b w:val="false"/>
          <w:color w:val="0070C0"/>
          <w:sz w:val="22"/>
        </w:rPr>
        <w:t>1.2.2.</w:t>
      </w:r>
      <w:r>
        <w:rPr>
          <w:rFonts w:ascii="Times New Roman;serif" w:hAnsi="Times New Roman;serif"/>
          <w:b w:val="false"/>
          <w:color w:val="000000"/>
          <w:sz w:val="22"/>
        </w:rPr>
        <w:t>We do not tip material nonpublic information to others who then trade.</w:t>
      </w:r>
    </w:p>
    <w:p>
      <w:pPr>
        <w:pStyle w:val="TextBody"/>
        <w:bidi w:val="0"/>
        <w:spacing w:lineRule="auto" w:line="288" w:before="0" w:after="200"/>
        <w:ind w:left="0" w:right="0" w:hanging="677"/>
        <w:jc w:val="both"/>
        <w:rPr/>
      </w:pPr>
      <w:r>
        <w:rPr>
          <w:rFonts w:ascii="sans-serif" w:hAnsi="sans-serif"/>
          <w:b w:val="false"/>
          <w:color w:val="0070C0"/>
          <w:sz w:val="22"/>
        </w:rPr>
        <w:t>1.3</w:t>
      </w:r>
      <w:r>
        <w:rPr>
          <w:rFonts w:ascii="Times New Roman;serif" w:hAnsi="Times New Roman;serif"/>
          <w:b/>
          <w:color w:val="000000"/>
          <w:sz w:val="22"/>
        </w:rPr>
        <w:t>Personal Responsibility</w:t>
      </w:r>
      <w:r>
        <w:rPr>
          <w:rFonts w:ascii="Times New Roman;serif" w:hAnsi="Times New Roman;serif"/>
          <w:b w:val="false"/>
          <w:color w:val="000000"/>
          <w:sz w:val="22"/>
        </w:rPr>
        <w:t xml:space="preserve">. </w:t>
      </w:r>
      <w:r>
        <w:rPr>
          <w:rFonts w:ascii="Times New Roman;serif" w:hAnsi="Times New Roman;serif"/>
          <w:b w:val="false"/>
          <w:i/>
          <w:color w:val="000000"/>
          <w:sz w:val="22"/>
          <w:u w:val="single"/>
        </w:rPr>
        <w:t>You</w:t>
      </w:r>
      <w:r>
        <w:rPr>
          <w:color w:val="000000"/>
        </w:rPr>
        <w:t xml:space="preserve"> </w:t>
      </w:r>
      <w:r>
        <w:rPr>
          <w:rFonts w:ascii="Times New Roman;serif" w:hAnsi="Times New Roman;serif"/>
          <w:b w:val="false"/>
          <w:color w:val="000000"/>
          <w:sz w:val="22"/>
        </w:rPr>
        <w:t>are responsible for knowing and following the laws and regulations that apply to your transactions in Medline securities and other companies’ securities (including Medline business partners). While the Policy is designed to reduce the risk of violation of insider trading laws, compliance with the Policy, including any trading preclearance, is not a guarantee against a finding of insider trading violations. In addition, any transaction subject to scrutiny will be evaluated by authorities or others after the fact. Before engaging in any transaction, you should carefully consider how it may be viewed in the bright light of hindsight.</w:t>
      </w:r>
    </w:p>
    <w:p>
      <w:pPr>
        <w:pStyle w:val="TextBody"/>
        <w:bidi w:val="0"/>
        <w:spacing w:lineRule="auto" w:line="288" w:before="0" w:after="200"/>
        <w:ind w:left="0" w:right="0" w:hanging="677"/>
        <w:jc w:val="both"/>
        <w:rPr/>
      </w:pPr>
      <w:r>
        <w:rPr>
          <w:rFonts w:ascii="sans-serif" w:hAnsi="sans-serif"/>
          <w:b w:val="false"/>
          <w:color w:val="0070C0"/>
          <w:sz w:val="22"/>
        </w:rPr>
        <w:t>1.4</w:t>
      </w:r>
      <w:r>
        <w:rPr>
          <w:rFonts w:ascii="Times New Roman;serif" w:hAnsi="Times New Roman;serif"/>
          <w:b w:val="false"/>
          <w:color w:val="000000"/>
          <w:sz w:val="22"/>
        </w:rPr>
        <w:t>Medline will conduct all global business activities in full compliance with this Policy, including any associated or related procedures or processes.</w:t>
      </w:r>
    </w:p>
    <w:p>
      <w:pPr>
        <w:pStyle w:val="TextBody"/>
        <w:bidi w:val="0"/>
        <w:spacing w:lineRule="auto" w:line="240" w:before="0" w:after="200"/>
        <w:ind w:left="0" w:right="0" w:hanging="360"/>
        <w:jc w:val="both"/>
        <w:rPr/>
      </w:pPr>
      <w:r>
        <w:rPr>
          <w:rFonts w:ascii="sans-serif" w:hAnsi="sans-serif"/>
          <w:b/>
          <w:color w:val="002060"/>
          <w:sz w:val="24"/>
        </w:rPr>
        <w:t>2.</w:t>
      </w:r>
      <w:r>
        <w:rPr>
          <w:rFonts w:ascii="Times New Roman;serif" w:hAnsi="Times New Roman;serif"/>
          <w:b/>
          <w:color w:val="000000"/>
          <w:sz w:val="22"/>
        </w:rPr>
        <w:t>Glossary of Terms</w:t>
      </w:r>
    </w:p>
    <w:tbl>
      <w:tblPr>
        <w:tblW w:w="8243" w:type="dxa"/>
        <w:jc w:val="left"/>
        <w:tblInd w:w="0" w:type="dxa"/>
        <w:tblLayout w:type="fixed"/>
        <w:tblCellMar>
          <w:top w:w="28" w:type="dxa"/>
          <w:left w:w="28" w:type="dxa"/>
          <w:bottom w:w="28" w:type="dxa"/>
          <w:right w:w="28" w:type="dxa"/>
        </w:tblCellMar>
      </w:tblPr>
      <w:tblGrid>
        <w:gridCol w:w="1094"/>
        <w:gridCol w:w="965"/>
        <w:gridCol w:w="970"/>
        <w:gridCol w:w="384"/>
        <w:gridCol w:w="384"/>
        <w:gridCol w:w="386"/>
        <w:gridCol w:w="109"/>
        <w:gridCol w:w="109"/>
        <w:gridCol w:w="109"/>
        <w:gridCol w:w="838"/>
        <w:gridCol w:w="838"/>
        <w:gridCol w:w="858"/>
        <w:gridCol w:w="351"/>
        <w:gridCol w:w="351"/>
        <w:gridCol w:w="497"/>
      </w:tblGrid>
      <w:tr>
        <w:trPr/>
        <w:tc>
          <w:tcPr>
            <w:tcW w:w="109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4" w:space="0" w:color="A5A5A5"/>
              <w:left w:val="single" w:sz="4" w:space="0" w:color="A5A5A5"/>
            </w:tcBorders>
            <w:shd w:fill="85CBFF" w:val="clear"/>
            <w:tcMar>
              <w:top w:w="30" w:type="dxa"/>
              <w:bottom w:w="0" w:type="dxa"/>
              <w:right w:w="0" w:type="dxa"/>
            </w:tcMar>
            <w:vAlign w:val="center"/>
          </w:tcPr>
          <w:p>
            <w:pPr>
              <w:pStyle w:val="TableContents"/>
              <w:bidi w:val="0"/>
              <w:spacing w:lineRule="auto" w:line="288" w:before="20" w:after="20"/>
              <w:jc w:val="both"/>
              <w:rPr>
                <w:rFonts w:ascii="Times New Roman;serif" w:hAnsi="Times New Roman;serif"/>
                <w:b/>
                <w:i/>
                <w:color w:val="000000"/>
                <w:sz w:val="22"/>
              </w:rPr>
            </w:pPr>
            <w:r>
              <w:rPr>
                <w:rFonts w:ascii="Times New Roman;serif" w:hAnsi="Times New Roman;serif"/>
                <w:b/>
                <w:i/>
                <w:color w:val="000000"/>
                <w:sz w:val="22"/>
              </w:rPr>
              <w:t>Term</w:t>
            </w:r>
          </w:p>
        </w:tc>
        <w:tc>
          <w:tcPr>
            <w:tcW w:w="1154" w:type="dxa"/>
            <w:gridSpan w:val="3"/>
            <w:tcBorders>
              <w:top w:val="single" w:sz="4" w:space="0" w:color="A5A5A5"/>
            </w:tcBorders>
            <w:shd w:fill="85CBFF" w:val="clear"/>
            <w:tcMar>
              <w:top w:w="3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i/>
                <w:color w:val="000000"/>
                <w:sz w:val="22"/>
              </w:rPr>
            </w:pPr>
            <w:r>
              <w:rPr>
                <w:rFonts w:ascii="Times New Roman;serif" w:hAnsi="Times New Roman;serif"/>
                <w:b/>
                <w:i/>
                <w:color w:val="000000"/>
                <w:sz w:val="22"/>
              </w:rPr>
              <w:t>Definition</w:t>
            </w:r>
          </w:p>
        </w:tc>
        <w:tc>
          <w:tcPr>
            <w:tcW w:w="327" w:type="dxa"/>
            <w:gridSpan w:val="3"/>
            <w:tcBorders>
              <w:top w:val="single" w:sz="4" w:space="0" w:color="A5A5A5"/>
            </w:tcBorders>
            <w:shd w:fill="A5A5A5" w:val="clear"/>
            <w:tcMar>
              <w:left w:w="0" w:type="dxa"/>
              <w:bottom w:w="0" w:type="dxa"/>
              <w:right w:w="0" w:type="dxa"/>
            </w:tcMar>
            <w:vAlign w:val="center"/>
          </w:tcPr>
          <w:p>
            <w:pPr>
              <w:pStyle w:val="TableContents"/>
              <w:bidi w:val="0"/>
              <w:spacing w:before="20" w:after="20"/>
              <w:jc w:val="both"/>
              <w:rPr/>
            </w:pPr>
            <w:r>
              <w:rPr/>
            </w:r>
          </w:p>
        </w:tc>
        <w:tc>
          <w:tcPr>
            <w:tcW w:w="2534" w:type="dxa"/>
            <w:gridSpan w:val="3"/>
            <w:tcBorders>
              <w:top w:val="single" w:sz="4" w:space="0" w:color="A5A5A5"/>
            </w:tcBorders>
            <w:shd w:fill="85CBFF" w:val="clear"/>
            <w:tcMar>
              <w:top w:w="3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i/>
                <w:color w:val="000000"/>
                <w:sz w:val="22"/>
              </w:rPr>
            </w:pPr>
            <w:r>
              <w:rPr>
                <w:rFonts w:ascii="Times New Roman;serif" w:hAnsi="Times New Roman;serif"/>
                <w:b/>
                <w:i/>
                <w:color w:val="000000"/>
                <w:sz w:val="22"/>
              </w:rPr>
              <w:t>Term</w:t>
            </w:r>
          </w:p>
        </w:tc>
        <w:tc>
          <w:tcPr>
            <w:tcW w:w="1199" w:type="dxa"/>
            <w:gridSpan w:val="3"/>
            <w:tcBorders>
              <w:top w:val="single" w:sz="4" w:space="0" w:color="A5A5A5"/>
              <w:right w:val="single" w:sz="4" w:space="0" w:color="A5A5A5"/>
            </w:tcBorders>
            <w:shd w:fill="85CBFF" w:val="clear"/>
            <w:tcMar>
              <w:top w:w="30" w:type="dxa"/>
              <w:left w:w="0" w:type="dxa"/>
              <w:bottom w:w="0" w:type="dxa"/>
            </w:tcMar>
            <w:vAlign w:val="center"/>
          </w:tcPr>
          <w:p>
            <w:pPr>
              <w:pStyle w:val="TableContents"/>
              <w:bidi w:val="0"/>
              <w:spacing w:lineRule="auto" w:line="288" w:before="20" w:after="20"/>
              <w:jc w:val="both"/>
              <w:rPr>
                <w:rFonts w:ascii="Times New Roman;serif" w:hAnsi="Times New Roman;serif"/>
                <w:b/>
                <w:i/>
                <w:color w:val="000000"/>
                <w:sz w:val="22"/>
              </w:rPr>
            </w:pPr>
            <w:r>
              <w:rPr>
                <w:rFonts w:ascii="Times New Roman;serif" w:hAnsi="Times New Roman;serif"/>
                <w:b/>
                <w:i/>
                <w:color w:val="000000"/>
                <w:sz w:val="22"/>
              </w:rPr>
              <w:t>Definition</w:t>
            </w:r>
          </w:p>
        </w:tc>
      </w:tr>
      <w:tr>
        <w:trPr/>
        <w:tc>
          <w:tcPr>
            <w:tcW w:w="3029" w:type="dxa"/>
            <w:gridSpan w:val="3"/>
            <w:tcBorders>
              <w:top w:val="single" w:sz="4" w:space="0" w:color="A5A5A5"/>
            </w:tcBorders>
            <w:shd w:fill="D9EFFF" w:val="clear"/>
            <w:tcMar>
              <w:top w:w="3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Blackout Insider</w:t>
            </w:r>
          </w:p>
        </w:tc>
        <w:tc>
          <w:tcPr>
            <w:tcW w:w="1154" w:type="dxa"/>
            <w:gridSpan w:val="3"/>
            <w:tcBorders>
              <w:top w:val="single" w:sz="4" w:space="0" w:color="A5A5A5"/>
            </w:tcBorders>
            <w:shd w:fill="D9EFFF" w:val="clear"/>
            <w:tcMar>
              <w:top w:w="3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6.1</w:t>
            </w:r>
          </w:p>
        </w:tc>
        <w:tc>
          <w:tcPr>
            <w:tcW w:w="327" w:type="dxa"/>
            <w:gridSpan w:val="3"/>
            <w:tcBorders>
              <w:top w:val="single" w:sz="4" w:space="0" w:color="A5A5A5"/>
            </w:tcBorders>
            <w:shd w:fill="EDEDED" w:val="clear"/>
            <w:tcMar>
              <w:left w:w="0" w:type="dxa"/>
              <w:bottom w:w="0" w:type="dxa"/>
              <w:right w:w="0" w:type="dxa"/>
            </w:tcMar>
            <w:vAlign w:val="center"/>
          </w:tcPr>
          <w:p>
            <w:pPr>
              <w:pStyle w:val="TableContents"/>
              <w:bidi w:val="0"/>
              <w:spacing w:before="20" w:after="20"/>
              <w:jc w:val="both"/>
              <w:rPr/>
            </w:pPr>
            <w:r>
              <w:rPr/>
            </w:r>
          </w:p>
        </w:tc>
        <w:tc>
          <w:tcPr>
            <w:tcW w:w="2534" w:type="dxa"/>
            <w:gridSpan w:val="3"/>
            <w:tcBorders>
              <w:top w:val="single" w:sz="4" w:space="0" w:color="A5A5A5"/>
            </w:tcBorders>
            <w:shd w:fill="D9EFFF" w:val="clear"/>
            <w:tcMar>
              <w:top w:w="3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Policy</w:t>
            </w:r>
          </w:p>
        </w:tc>
        <w:tc>
          <w:tcPr>
            <w:tcW w:w="1199" w:type="dxa"/>
            <w:gridSpan w:val="3"/>
            <w:tcBorders>
              <w:top w:val="single" w:sz="4" w:space="0" w:color="A5A5A5"/>
            </w:tcBorders>
            <w:shd w:fill="D9EFFF" w:val="clear"/>
            <w:tcMar>
              <w:top w:w="3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1.1</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Board</w:t>
            </w:r>
          </w:p>
        </w:tc>
        <w:tc>
          <w:tcPr>
            <w:tcW w:w="1154"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3.1</w:t>
            </w:r>
          </w:p>
        </w:tc>
        <w:tc>
          <w:tcPr>
            <w:tcW w:w="327" w:type="dxa"/>
            <w:gridSpan w:val="3"/>
            <w:tcBorders/>
            <w:tcMar>
              <w:top w:w="0" w:type="dxa"/>
              <w:left w:w="0" w:type="dxa"/>
              <w:bottom w:w="0" w:type="dxa"/>
              <w:right w:w="0" w:type="dxa"/>
            </w:tcMar>
            <w:vAlign w:val="center"/>
          </w:tcPr>
          <w:p>
            <w:pPr>
              <w:pStyle w:val="TableContents"/>
              <w:bidi w:val="0"/>
              <w:spacing w:before="20" w:after="20"/>
              <w:jc w:val="both"/>
              <w:rPr/>
            </w:pPr>
            <w:r>
              <w:rPr/>
            </w:r>
          </w:p>
        </w:tc>
        <w:tc>
          <w:tcPr>
            <w:tcW w:w="2534"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Preclearance Insider</w:t>
            </w:r>
          </w:p>
        </w:tc>
        <w:tc>
          <w:tcPr>
            <w:tcW w:w="1199"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7.1</w:t>
            </w:r>
          </w:p>
        </w:tc>
      </w:tr>
      <w:tr>
        <w:trPr/>
        <w:tc>
          <w:tcPr>
            <w:tcW w:w="3029"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Board Observers</w:t>
            </w:r>
          </w:p>
        </w:tc>
        <w:tc>
          <w:tcPr>
            <w:tcW w:w="1154"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3.1</w:t>
            </w:r>
          </w:p>
        </w:tc>
        <w:tc>
          <w:tcPr>
            <w:tcW w:w="327" w:type="dxa"/>
            <w:gridSpan w:val="3"/>
            <w:tcBorders/>
            <w:shd w:fill="EDEDED" w:val="clear"/>
            <w:tcMar>
              <w:top w:w="0" w:type="dxa"/>
              <w:left w:w="0" w:type="dxa"/>
              <w:bottom w:w="0" w:type="dxa"/>
              <w:right w:w="0" w:type="dxa"/>
            </w:tcMar>
            <w:vAlign w:val="center"/>
          </w:tcPr>
          <w:p>
            <w:pPr>
              <w:pStyle w:val="TableContents"/>
              <w:bidi w:val="0"/>
              <w:spacing w:before="20" w:after="20"/>
              <w:jc w:val="both"/>
              <w:rPr/>
            </w:pPr>
            <w:r>
              <w:rPr/>
            </w:r>
          </w:p>
        </w:tc>
        <w:tc>
          <w:tcPr>
            <w:tcW w:w="2534"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public release</w:t>
            </w:r>
          </w:p>
        </w:tc>
        <w:tc>
          <w:tcPr>
            <w:tcW w:w="1199"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6.2</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business partner</w:t>
            </w:r>
          </w:p>
        </w:tc>
        <w:tc>
          <w:tcPr>
            <w:tcW w:w="1154"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3.2</w:t>
            </w:r>
          </w:p>
        </w:tc>
        <w:tc>
          <w:tcPr>
            <w:tcW w:w="327" w:type="dxa"/>
            <w:gridSpan w:val="3"/>
            <w:tcBorders/>
            <w:tcMar>
              <w:top w:w="0" w:type="dxa"/>
              <w:left w:w="0" w:type="dxa"/>
              <w:bottom w:w="0" w:type="dxa"/>
              <w:right w:w="0" w:type="dxa"/>
            </w:tcMar>
            <w:vAlign w:val="center"/>
          </w:tcPr>
          <w:p>
            <w:pPr>
              <w:pStyle w:val="TableContents"/>
              <w:bidi w:val="0"/>
              <w:spacing w:before="20" w:after="20"/>
              <w:jc w:val="both"/>
              <w:rPr/>
            </w:pPr>
            <w:r>
              <w:rPr/>
            </w:r>
          </w:p>
        </w:tc>
        <w:tc>
          <w:tcPr>
            <w:tcW w:w="2534"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Related Persons</w:t>
            </w:r>
          </w:p>
        </w:tc>
        <w:tc>
          <w:tcPr>
            <w:tcW w:w="1199"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3.1</w:t>
            </w:r>
          </w:p>
        </w:tc>
      </w:tr>
      <w:tr>
        <w:trPr/>
        <w:tc>
          <w:tcPr>
            <w:tcW w:w="3029"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Company</w:t>
            </w:r>
          </w:p>
        </w:tc>
        <w:tc>
          <w:tcPr>
            <w:tcW w:w="1154"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1.1</w:t>
            </w:r>
          </w:p>
        </w:tc>
        <w:tc>
          <w:tcPr>
            <w:tcW w:w="327" w:type="dxa"/>
            <w:gridSpan w:val="3"/>
            <w:tcBorders/>
            <w:shd w:fill="EDEDED" w:val="clear"/>
            <w:tcMar>
              <w:top w:w="0" w:type="dxa"/>
              <w:left w:w="0" w:type="dxa"/>
              <w:bottom w:w="0" w:type="dxa"/>
              <w:right w:w="0" w:type="dxa"/>
            </w:tcMar>
            <w:vAlign w:val="center"/>
          </w:tcPr>
          <w:p>
            <w:pPr>
              <w:pStyle w:val="TableContents"/>
              <w:bidi w:val="0"/>
              <w:spacing w:before="20" w:after="20"/>
              <w:jc w:val="both"/>
              <w:rPr/>
            </w:pPr>
            <w:r>
              <w:rPr/>
            </w:r>
          </w:p>
        </w:tc>
        <w:tc>
          <w:tcPr>
            <w:tcW w:w="2534"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Rule 10b5-1 Trading Plan</w:t>
            </w:r>
          </w:p>
        </w:tc>
        <w:tc>
          <w:tcPr>
            <w:tcW w:w="1199"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9.1</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ELT</w:t>
            </w:r>
          </w:p>
        </w:tc>
        <w:tc>
          <w:tcPr>
            <w:tcW w:w="1154"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6.1</w:t>
            </w:r>
          </w:p>
        </w:tc>
        <w:tc>
          <w:tcPr>
            <w:tcW w:w="327" w:type="dxa"/>
            <w:gridSpan w:val="3"/>
            <w:tcBorders/>
            <w:tcMar>
              <w:top w:w="0" w:type="dxa"/>
              <w:left w:w="0" w:type="dxa"/>
              <w:bottom w:w="0" w:type="dxa"/>
              <w:right w:w="0" w:type="dxa"/>
            </w:tcMar>
            <w:vAlign w:val="center"/>
          </w:tcPr>
          <w:p>
            <w:pPr>
              <w:pStyle w:val="TableContents"/>
              <w:bidi w:val="0"/>
              <w:spacing w:before="20" w:after="20"/>
              <w:jc w:val="both"/>
              <w:rPr/>
            </w:pPr>
            <w:r>
              <w:rPr/>
            </w:r>
          </w:p>
        </w:tc>
        <w:tc>
          <w:tcPr>
            <w:tcW w:w="2534"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16 Officer</w:t>
            </w:r>
          </w:p>
        </w:tc>
        <w:tc>
          <w:tcPr>
            <w:tcW w:w="1199"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6.1</w:t>
            </w:r>
          </w:p>
        </w:tc>
      </w:tr>
      <w:tr>
        <w:trPr/>
        <w:tc>
          <w:tcPr>
            <w:tcW w:w="3029"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ESPP</w:t>
            </w:r>
          </w:p>
        </w:tc>
        <w:tc>
          <w:tcPr>
            <w:tcW w:w="1154"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3.2</w:t>
            </w:r>
          </w:p>
        </w:tc>
        <w:tc>
          <w:tcPr>
            <w:tcW w:w="327" w:type="dxa"/>
            <w:gridSpan w:val="3"/>
            <w:tcBorders/>
            <w:shd w:fill="EDEDED" w:val="clear"/>
            <w:tcMar>
              <w:top w:w="0" w:type="dxa"/>
              <w:left w:w="0" w:type="dxa"/>
              <w:bottom w:w="0" w:type="dxa"/>
              <w:right w:w="0" w:type="dxa"/>
            </w:tcMar>
            <w:vAlign w:val="center"/>
          </w:tcPr>
          <w:p>
            <w:pPr>
              <w:pStyle w:val="TableContents"/>
              <w:bidi w:val="0"/>
              <w:spacing w:before="20" w:after="20"/>
              <w:jc w:val="both"/>
              <w:rPr/>
            </w:pPr>
            <w:r>
              <w:rPr/>
            </w:r>
          </w:p>
        </w:tc>
        <w:tc>
          <w:tcPr>
            <w:tcW w:w="2534"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trade</w:t>
            </w:r>
          </w:p>
        </w:tc>
        <w:tc>
          <w:tcPr>
            <w:tcW w:w="1199"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3.2</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Exchange Act</w:t>
            </w:r>
          </w:p>
        </w:tc>
        <w:tc>
          <w:tcPr>
            <w:tcW w:w="1154"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7.3</w:t>
            </w:r>
          </w:p>
        </w:tc>
        <w:tc>
          <w:tcPr>
            <w:tcW w:w="327" w:type="dxa"/>
            <w:gridSpan w:val="3"/>
            <w:tcBorders/>
            <w:tcMar>
              <w:top w:w="0" w:type="dxa"/>
              <w:left w:w="0" w:type="dxa"/>
              <w:bottom w:w="0" w:type="dxa"/>
              <w:right w:w="0" w:type="dxa"/>
            </w:tcMar>
            <w:vAlign w:val="center"/>
          </w:tcPr>
          <w:p>
            <w:pPr>
              <w:pStyle w:val="TableContents"/>
              <w:bidi w:val="0"/>
              <w:spacing w:before="20" w:after="20"/>
              <w:jc w:val="both"/>
              <w:rPr/>
            </w:pPr>
            <w:r>
              <w:rPr/>
            </w:r>
          </w:p>
        </w:tc>
        <w:tc>
          <w:tcPr>
            <w:tcW w:w="2534"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Trading List</w:t>
            </w:r>
          </w:p>
        </w:tc>
        <w:tc>
          <w:tcPr>
            <w:tcW w:w="1199"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6.1</w:t>
            </w:r>
          </w:p>
        </w:tc>
      </w:tr>
      <w:tr>
        <w:trPr/>
        <w:tc>
          <w:tcPr>
            <w:tcW w:w="3029"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material nonpublic information</w:t>
            </w:r>
          </w:p>
        </w:tc>
        <w:tc>
          <w:tcPr>
            <w:tcW w:w="1154"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4</w:t>
            </w:r>
          </w:p>
        </w:tc>
        <w:tc>
          <w:tcPr>
            <w:tcW w:w="327" w:type="dxa"/>
            <w:gridSpan w:val="3"/>
            <w:tcBorders/>
            <w:shd w:fill="EDEDED" w:val="clear"/>
            <w:tcMar>
              <w:top w:w="0" w:type="dxa"/>
              <w:left w:w="0" w:type="dxa"/>
              <w:bottom w:w="0" w:type="dxa"/>
              <w:right w:w="0" w:type="dxa"/>
            </w:tcMar>
            <w:vAlign w:val="center"/>
          </w:tcPr>
          <w:p>
            <w:pPr>
              <w:pStyle w:val="TableContents"/>
              <w:bidi w:val="0"/>
              <w:spacing w:before="20" w:after="20"/>
              <w:jc w:val="both"/>
              <w:rPr/>
            </w:pPr>
            <w:r>
              <w:rPr/>
            </w:r>
          </w:p>
        </w:tc>
        <w:tc>
          <w:tcPr>
            <w:tcW w:w="2534"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transaction</w:t>
            </w:r>
          </w:p>
        </w:tc>
        <w:tc>
          <w:tcPr>
            <w:tcW w:w="1199" w:type="dxa"/>
            <w:gridSpan w:val="3"/>
            <w:tcBorders/>
            <w:shd w:fill="D9EFFF" w:val="clear"/>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3.2</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Medline</w:t>
            </w:r>
          </w:p>
        </w:tc>
        <w:tc>
          <w:tcPr>
            <w:tcW w:w="1154" w:type="dxa"/>
            <w:gridSpan w:val="3"/>
            <w:tcBorders/>
            <w:tcMar>
              <w:top w:w="0" w:type="dxa"/>
              <w:left w:w="0" w:type="dxa"/>
              <w:bottom w:w="0" w:type="dxa"/>
              <w:right w:w="0" w:type="dxa"/>
            </w:tcMar>
            <w:vAlign w:val="center"/>
          </w:tcPr>
          <w:p>
            <w:pPr>
              <w:pStyle w:val="TableContents"/>
              <w:bidi w:val="0"/>
              <w:spacing w:lineRule="auto" w:line="288" w:before="20" w:after="20"/>
              <w:jc w:val="both"/>
              <w:rPr>
                <w:rFonts w:ascii="Times New Roman;serif" w:hAnsi="Times New Roman;serif"/>
                <w:b w:val="false"/>
                <w:color w:val="000000"/>
                <w:sz w:val="22"/>
              </w:rPr>
            </w:pPr>
            <w:r>
              <w:rPr>
                <w:rFonts w:ascii="Times New Roman;serif" w:hAnsi="Times New Roman;serif"/>
                <w:b w:val="false"/>
                <w:color w:val="000000"/>
                <w:sz w:val="22"/>
              </w:rPr>
              <w:t>Section 1.1</w:t>
            </w:r>
          </w:p>
        </w:tc>
        <w:tc>
          <w:tcPr>
            <w:tcW w:w="327" w:type="dxa"/>
            <w:gridSpan w:val="3"/>
            <w:tcBorders/>
            <w:tcMar>
              <w:top w:w="0" w:type="dxa"/>
              <w:left w:w="0" w:type="dxa"/>
              <w:bottom w:w="0" w:type="dxa"/>
              <w:right w:w="0" w:type="dxa"/>
            </w:tcMar>
            <w:vAlign w:val="center"/>
          </w:tcPr>
          <w:p>
            <w:pPr>
              <w:pStyle w:val="TableContents"/>
              <w:bidi w:val="0"/>
              <w:spacing w:before="20" w:after="20"/>
              <w:jc w:val="both"/>
              <w:rPr/>
            </w:pPr>
            <w:r>
              <w:rPr/>
            </w:r>
          </w:p>
        </w:tc>
        <w:tc>
          <w:tcPr>
            <w:tcW w:w="2534" w:type="dxa"/>
            <w:gridSpan w:val="3"/>
            <w:tcBorders/>
            <w:tcMar>
              <w:top w:w="0" w:type="dxa"/>
              <w:left w:w="0" w:type="dxa"/>
              <w:bottom w:w="0" w:type="dxa"/>
              <w:right w:w="0" w:type="dxa"/>
            </w:tcMar>
            <w:vAlign w:val="center"/>
          </w:tcPr>
          <w:p>
            <w:pPr>
              <w:pStyle w:val="TableContents"/>
              <w:bidi w:val="0"/>
              <w:spacing w:before="20" w:after="20"/>
              <w:jc w:val="both"/>
              <w:rPr/>
            </w:pPr>
            <w:r>
              <w:rPr/>
            </w:r>
          </w:p>
        </w:tc>
        <w:tc>
          <w:tcPr>
            <w:tcW w:w="1199" w:type="dxa"/>
            <w:gridSpan w:val="3"/>
            <w:tcBorders/>
            <w:tcMar>
              <w:top w:w="0" w:type="dxa"/>
              <w:left w:w="0" w:type="dxa"/>
              <w:bottom w:w="0" w:type="dxa"/>
              <w:right w:w="0" w:type="dxa"/>
            </w:tcMar>
            <w:vAlign w:val="center"/>
          </w:tcPr>
          <w:p>
            <w:pPr>
              <w:pStyle w:val="TableContents"/>
              <w:bidi w:val="0"/>
              <w:spacing w:before="20" w:after="20"/>
              <w:jc w:val="both"/>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00"/>
        <w:ind w:left="0" w:right="0" w:hanging="360"/>
        <w:jc w:val="both"/>
        <w:rPr/>
      </w:pPr>
      <w:r>
        <w:rPr>
          <w:rFonts w:ascii="sans-serif" w:hAnsi="sans-serif"/>
          <w:b/>
          <w:color w:val="002060"/>
          <w:sz w:val="24"/>
        </w:rPr>
        <w:t>3.</w:t>
      </w:r>
      <w:r>
        <w:rPr>
          <w:rFonts w:ascii="Times New Roman;serif" w:hAnsi="Times New Roman;serif"/>
          <w:b/>
          <w:color w:val="000000"/>
          <w:sz w:val="22"/>
        </w:rPr>
        <w:t>Scope</w:t>
      </w:r>
    </w:p>
    <w:p>
      <w:pPr>
        <w:pStyle w:val="TextBody"/>
        <w:bidi w:val="0"/>
        <w:spacing w:lineRule="auto" w:line="288" w:before="0" w:after="200"/>
        <w:ind w:left="0" w:right="0" w:hanging="677"/>
        <w:jc w:val="both"/>
        <w:rPr/>
      </w:pPr>
      <w:r>
        <w:rPr>
          <w:rFonts w:ascii="sans-serif" w:hAnsi="sans-serif"/>
          <w:b w:val="false"/>
          <w:color w:val="0070C0"/>
          <w:sz w:val="22"/>
        </w:rPr>
        <w:t>3.1</w:t>
      </w:r>
      <w:r>
        <w:rPr>
          <w:rFonts w:ascii="Times New Roman;serif" w:hAnsi="Times New Roman;serif"/>
          <w:b/>
          <w:color w:val="000000"/>
          <w:sz w:val="22"/>
        </w:rPr>
        <w:t>Persons Covered</w:t>
      </w:r>
      <w:r>
        <w:rPr>
          <w:rFonts w:ascii="Times New Roman;serif" w:hAnsi="Times New Roman;serif"/>
          <w:b w:val="false"/>
          <w:color w:val="000000"/>
          <w:sz w:val="22"/>
        </w:rPr>
        <w:t xml:space="preserve">. </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All Medline employees worldwide and members of the Medline Board of Directors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All consultants and contractors worldwide who may be provided access to material nonpublic information and all observers of the Board (“</w:t>
      </w:r>
      <w:r>
        <w:rPr>
          <w:rFonts w:ascii="Times New Roman;serif" w:hAnsi="Times New Roman;serif"/>
          <w:b/>
          <w:color w:val="000000"/>
          <w:sz w:val="22"/>
        </w:rPr>
        <w:t>Board Observers</w:t>
      </w:r>
      <w:r>
        <w:rPr>
          <w:color w:val="000000"/>
        </w:rPr>
        <w:t>”</w:t>
      </w:r>
      <w:r>
        <w:rPr>
          <w:rFonts w:ascii="Times New Roman;serif" w:hAnsi="Times New Roman;serif"/>
          <w:b w:val="false"/>
          <w:color w:val="000000"/>
          <w:sz w:val="22"/>
        </w:rPr>
        <w:t>); and</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any family members or others who reside with the above persons and any family members who do not live with them but whose transactions in Medline securities are subject to their influence or control (such as parents or children who consult with them before they trade in Medline securities), and any entities (such as trusts or corporations) or persons whose securities transactions are controlled or managed by the above persons (collectively, “</w:t>
      </w:r>
      <w:r>
        <w:rPr>
          <w:rFonts w:ascii="Times New Roman;serif" w:hAnsi="Times New Roman;serif"/>
          <w:b/>
          <w:color w:val="000000"/>
          <w:sz w:val="22"/>
        </w:rPr>
        <w:t>Related Persons</w:t>
      </w:r>
      <w:r>
        <w:rPr>
          <w:color w:val="000000"/>
        </w:rPr>
        <w:t>”</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You are responsible for making sure that your Related Persons comply with this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Policy continues to apply even after you cease to be a Board member, employee, consultant, contractor, or Board Observer of Medline. If you are aware of material nonpublic information when your employment, service or contractual governance relationship with Medline terminates, you may not trade in Medline securities or securities of its business partners (defined below) until that information becomes public or not material.</w:t>
      </w:r>
    </w:p>
    <w:p>
      <w:pPr>
        <w:pStyle w:val="TextBody"/>
        <w:bidi w:val="0"/>
        <w:spacing w:lineRule="auto" w:line="288" w:before="0" w:after="200"/>
        <w:ind w:left="0" w:right="0" w:hanging="677"/>
        <w:jc w:val="both"/>
        <w:rPr/>
      </w:pPr>
      <w:r>
        <w:rPr>
          <w:rFonts w:ascii="sans-serif" w:hAnsi="sans-serif"/>
          <w:b w:val="false"/>
          <w:color w:val="0070C0"/>
          <w:sz w:val="22"/>
        </w:rPr>
        <w:t>3.2</w:t>
      </w:r>
      <w:r>
        <w:rPr>
          <w:rFonts w:ascii="Times New Roman;serif" w:hAnsi="Times New Roman;serif"/>
          <w:b/>
          <w:color w:val="000000"/>
          <w:sz w:val="22"/>
        </w:rPr>
        <w:t>Transactions Covered</w:t>
      </w:r>
      <w:r>
        <w:rPr>
          <w:rFonts w:ascii="Times New Roman;serif" w:hAnsi="Times New Roman;serif"/>
          <w:b w:val="false"/>
          <w:color w:val="000000"/>
          <w:sz w:val="22"/>
        </w:rPr>
        <w:t xml:space="preserve">. All transactions, direct or indirect, in the Company’s securities, including common stock, preferred stock, options to purchase stock, instruments convertible or exchangeable into equity or debt securities of the Company (including Common Units of Medline Holdings, LP), notes, warrants, and any other equity or debt securities of the Company, as well as any puts, calls, swaps, convertible instruments, or other derivative securities, whether or not issued by the Company.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this Policy, the term “transaction” or “trade” means broadly any purchase, sale or other transaction to acquire, transfer, or dispose of securities or an interest in securities, including changing elections (or electing to participate for the first time) under the Medline Employee Stock Purchase Program (“ESPP”) or any gift, pledge, contribution to a trust, or loan of securities.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Policy also applies to all transactions in the securities of other entities with which Medline has or may have a business relationship, such as customers, suppliers, vendors, and any entities with which Medline may be negotiating a transaction (including an acquisition, investment, or sale of assets) (collectively, “business partners”) when you are aware of material nonpublic information about such business partner or its securities as a result of your employment or other relationship with Medline. Information that is not material to Medline may nevertheless be material to those entities. Notwithstanding anything to the contrary contained in this Policy, this Policy does not apply to Blackstone Inc., The Carlyle Group Inc., Hellman &amp; Friedman LLC, Abu Dhabi Investment Authority, GIC Private Limited or their respective affiliates, other than personnel of such stockholders who are serving as Board members or Board Observers, as applicable.</w:t>
      </w:r>
    </w:p>
    <w:p>
      <w:pPr>
        <w:pStyle w:val="TextBody"/>
        <w:bidi w:val="0"/>
        <w:spacing w:lineRule="auto" w:line="288" w:before="0" w:after="200"/>
        <w:ind w:left="0" w:right="0" w:hanging="677"/>
        <w:jc w:val="both"/>
        <w:rPr/>
      </w:pPr>
      <w:r>
        <w:rPr>
          <w:rFonts w:ascii="sans-serif" w:hAnsi="sans-serif"/>
          <w:b w:val="false"/>
          <w:color w:val="0070C0"/>
          <w:sz w:val="22"/>
        </w:rPr>
        <w:t>3.3</w:t>
      </w:r>
      <w:r>
        <w:rPr>
          <w:rFonts w:ascii="Times New Roman;serif" w:hAnsi="Times New Roman;serif"/>
          <w:b/>
          <w:color w:val="000000"/>
          <w:sz w:val="22"/>
        </w:rPr>
        <w:t>Penalties for Violating This Policy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Violations of this Policy may lead to disciplinary action up to and including termination of your employment or other relationship with Medline. Additionally, Medline may alert appropriate authorities if required or if it decides, in its sole discretion, that it is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appropriate. Violations of insider trading laws may subject individuals to civil and criminal penalties, including fines and imprisonment.</w:t>
      </w:r>
    </w:p>
    <w:p>
      <w:pPr>
        <w:pStyle w:val="TextBody"/>
        <w:bidi w:val="0"/>
        <w:spacing w:lineRule="auto" w:line="240" w:before="0" w:after="200"/>
        <w:ind w:left="0" w:right="0" w:hanging="360"/>
        <w:jc w:val="both"/>
        <w:rPr/>
      </w:pPr>
      <w:r>
        <w:rPr>
          <w:rFonts w:ascii="sans-serif" w:hAnsi="sans-serif"/>
          <w:b/>
          <w:color w:val="002060"/>
          <w:sz w:val="24"/>
        </w:rPr>
        <w:t>4.</w:t>
      </w:r>
      <w:r>
        <w:rPr>
          <w:rFonts w:ascii="Times New Roman;serif" w:hAnsi="Times New Roman;serif"/>
          <w:b/>
          <w:color w:val="000000"/>
          <w:sz w:val="22"/>
        </w:rPr>
        <w:t>Meaning of Material Non-Public Information</w:t>
      </w:r>
    </w:p>
    <w:p>
      <w:pPr>
        <w:pStyle w:val="TextBody"/>
        <w:bidi w:val="0"/>
        <w:spacing w:lineRule="auto" w:line="288" w:before="0" w:after="200"/>
        <w:ind w:left="0" w:right="0" w:hanging="677"/>
        <w:jc w:val="both"/>
        <w:rPr/>
      </w:pPr>
      <w:r>
        <w:rPr>
          <w:rFonts w:ascii="sans-serif" w:hAnsi="sans-serif"/>
          <w:b w:val="false"/>
          <w:color w:val="0070C0"/>
          <w:sz w:val="22"/>
        </w:rPr>
        <w:t>4.1</w:t>
      </w:r>
      <w:r>
        <w:rPr>
          <w:rFonts w:ascii="Times New Roman;serif" w:hAnsi="Times New Roman;serif"/>
          <w:b/>
          <w:color w:val="000000"/>
          <w:sz w:val="22"/>
        </w:rPr>
        <w:t>Material Information</w:t>
      </w:r>
      <w:r>
        <w:rPr>
          <w:rFonts w:ascii="Times New Roman;serif" w:hAnsi="Times New Roman;serif"/>
          <w:b w:val="false"/>
          <w:color w:val="000000"/>
          <w:sz w:val="22"/>
        </w:rPr>
        <w:t>. Information that a reasonable person would likely consider important in making a decision to buy, sell, or hold securities or that could reasonably be expected to affect the price of a security, whether positively or negatively.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It may include events that have already occurred as well as projections or forecasts. For future events, materiality is determined by considering both the probability that the event will occur and the magnitude of the effect the event would have if it occurred. Even if the possibility that an event will occur in the future is relatively small, if it would have a large effect on stock price, it may be material.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Information generally regarded as material includes (but is not limited to):</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financial results and performance, including projections of future results or other guidance</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significant proposed or pending transactions or business plans (such as acquisitions, divestitures, investments, joint ventures, or facility openings or closures)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gain or loss of an important customer or supplier or significant developments or changes with any</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product recalls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significant project, product, technology, or intellectual property developments or innovations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changes in the Company’s Board members or senior management</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interruptions or disruptions in the Company’s operations or business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actual or potential cybersecurity incidents or risks to the Company or third-party providers that support the Company’s business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 xml:space="preserve">developments in actual or threatened litigation, governmental or regulatory inquiries, or labor disputes </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events involving the Company’s equity or debt (such as financings, offers, redemptions, repurchases, amendments, defaults, or significant transactions)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major environmental incidents or risks</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events that may create a significant reserve, write-off, or adjustment to the financial statements</w:t>
      </w:r>
    </w:p>
    <w:p>
      <w:pPr>
        <w:pStyle w:val="TextBody"/>
        <w:bidi w:val="0"/>
        <w:spacing w:lineRule="auto" w:line="288" w:before="0" w:after="200"/>
        <w:ind w:left="0" w:right="0" w:hanging="677"/>
        <w:jc w:val="both"/>
        <w:rPr/>
      </w:pPr>
      <w:r>
        <w:rPr>
          <w:rFonts w:ascii="sans-serif" w:hAnsi="sans-serif"/>
          <w:b w:val="false"/>
          <w:color w:val="0070C0"/>
          <w:sz w:val="22"/>
        </w:rPr>
        <w:t>4.2</w:t>
      </w:r>
      <w:r>
        <w:rPr>
          <w:rFonts w:ascii="Times New Roman;serif" w:hAnsi="Times New Roman;serif"/>
          <w:b/>
          <w:color w:val="000000"/>
          <w:sz w:val="22"/>
        </w:rPr>
        <w:t>Nonpublic Information</w:t>
      </w:r>
      <w:r>
        <w:rPr>
          <w:rFonts w:ascii="Times New Roman;serif" w:hAnsi="Times New Roman;serif"/>
          <w:b w:val="false"/>
          <w:color w:val="000000"/>
          <w:sz w:val="22"/>
        </w:rPr>
        <w:t xml:space="preserve">. Information that has </w:t>
      </w:r>
      <w:r>
        <w:rPr>
          <w:rFonts w:ascii="Times New Roman;serif" w:hAnsi="Times New Roman;serif"/>
          <w:b w:val="false"/>
          <w:color w:val="000000"/>
          <w:sz w:val="22"/>
          <w:u w:val="single"/>
        </w:rPr>
        <w:t>not</w:t>
      </w:r>
      <w:r>
        <w:rPr>
          <w:color w:val="000000"/>
        </w:rPr>
        <w:t xml:space="preserve"> </w:t>
      </w:r>
      <w:r>
        <w:rPr>
          <w:rFonts w:ascii="Times New Roman;serif" w:hAnsi="Times New Roman;serif"/>
          <w:b w:val="false"/>
          <w:color w:val="000000"/>
          <w:sz w:val="22"/>
        </w:rPr>
        <w:t>been disclosed broadly to the general public. The information must have been disseminated in a manner designed to reach investors generally, e.g., in a Company press release or official statement or filing with the U.S. Securities and Exchange Commission, and investors must be given sufficient time to fully absorb the information.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Examples of information that is not public include: Rumors, even if accurate, widespread, and reported in the media. Information disclosed to a few members of the public. Information only partially disclosed to the public.</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As a general rule, for purposes of this Policy, information is considered nonpublic until the close of market following the completion of one (1) full trading day after it has been publicly released.</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677"/>
        <w:jc w:val="both"/>
        <w:rPr/>
      </w:pPr>
      <w:r>
        <w:rPr>
          <w:rFonts w:ascii="sans-serif" w:hAnsi="sans-serif"/>
          <w:b w:val="false"/>
          <w:color w:val="0070C0"/>
          <w:sz w:val="22"/>
        </w:rPr>
        <w:t>4.3</w:t>
      </w:r>
      <w:r>
        <w:rPr>
          <w:rFonts w:ascii="Times New Roman;serif" w:hAnsi="Times New Roman;serif"/>
          <w:b/>
          <w:color w:val="000000"/>
          <w:sz w:val="22"/>
        </w:rPr>
        <w:t>If you are not sure whether the information is material or nonpublic, you should assume that the information is material nonpublic information or consult with the Corporate Secretary before trading.</w:t>
      </w:r>
    </w:p>
    <w:p>
      <w:pPr>
        <w:pStyle w:val="TextBody"/>
        <w:bidi w:val="0"/>
        <w:spacing w:lineRule="auto" w:line="240" w:before="0" w:after="200"/>
        <w:ind w:left="0" w:right="0" w:hanging="360"/>
        <w:jc w:val="both"/>
        <w:rPr/>
      </w:pPr>
      <w:r>
        <w:rPr>
          <w:rFonts w:ascii="sans-serif" w:hAnsi="sans-serif"/>
          <w:b/>
          <w:color w:val="002060"/>
          <w:sz w:val="24"/>
        </w:rPr>
        <w:t>5.</w:t>
      </w:r>
      <w:r>
        <w:rPr>
          <w:rFonts w:ascii="Times New Roman;serif" w:hAnsi="Times New Roman;serif"/>
          <w:b/>
          <w:color w:val="000000"/>
          <w:sz w:val="22"/>
        </w:rPr>
        <w:t>Rules for Everyone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rules apply to everyone subject to this Policy.</w:t>
      </w:r>
    </w:p>
    <w:p>
      <w:pPr>
        <w:pStyle w:val="TextBody"/>
        <w:bidi w:val="0"/>
        <w:spacing w:lineRule="auto" w:line="288" w:before="0" w:after="200"/>
        <w:ind w:left="0" w:right="0" w:hanging="677"/>
        <w:jc w:val="both"/>
        <w:rPr/>
      </w:pPr>
      <w:r>
        <w:rPr>
          <w:rFonts w:ascii="sans-serif" w:hAnsi="sans-serif"/>
          <w:b w:val="false"/>
          <w:color w:val="0070C0"/>
          <w:sz w:val="22"/>
        </w:rPr>
        <w:t>5.1</w:t>
      </w:r>
      <w:r>
        <w:rPr>
          <w:rFonts w:ascii="Times New Roman;serif" w:hAnsi="Times New Roman;serif"/>
          <w:b/>
          <w:color w:val="000000"/>
          <w:sz w:val="22"/>
        </w:rPr>
        <w:t>Safeguard Material Nonpublic Information</w:t>
      </w:r>
      <w:r>
        <w:rPr>
          <w:rFonts w:ascii="Times New Roman;serif" w:hAnsi="Times New Roman;serif"/>
          <w:b w:val="false"/>
          <w:color w:val="000000"/>
          <w:sz w:val="22"/>
        </w:rPr>
        <w:t>. You should maintain the confidentiality of material nonpublic information about Medline and its business partners in accordance with Company policies and until that information has been broadly disseminated to the public or is no longer material.</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You are responsible for making sure that your Related Persons maintain the confidentiality of material nonpublic information about Medline and its business partners. Those with whom you have a history, pattern, or practice of sharing confidences, such as family, close friends, and financial and personal counselors, may be presumed to have acted on the basis of information that you know; therefore, special care should be taken not to disclose material nonpublic information to these people. </w:t>
      </w:r>
    </w:p>
    <w:p>
      <w:pPr>
        <w:pStyle w:val="TextBody"/>
        <w:bidi w:val="0"/>
        <w:spacing w:lineRule="auto" w:line="288" w:before="0" w:after="0"/>
        <w:jc w:val="both"/>
        <w:rPr/>
      </w:pPr>
      <w:r>
        <w:rPr>
          <w:rFonts w:ascii="Times New Roman;serif" w:hAnsi="Times New Roman;serif"/>
          <w:b w:val="false"/>
          <w:color w:val="000000"/>
          <w:sz w:val="22"/>
          <w:u w:val="single"/>
        </w:rPr>
        <w:t>If you inadvertently disclose material nonpublic information</w:t>
      </w:r>
      <w:r>
        <w:rPr>
          <w:color w:val="000000"/>
        </w:rPr>
        <w:t xml:space="preserve"> </w:t>
      </w:r>
      <w:r>
        <w:rPr>
          <w:rFonts w:ascii="Times New Roman;serif" w:hAnsi="Times New Roman;serif"/>
          <w:b w:val="false"/>
          <w:color w:val="000000"/>
          <w:sz w:val="22"/>
        </w:rPr>
        <w:t xml:space="preserve">about Medline or its business partners, you should inform the Corporate Secretary immediately to enable the Company to take appropriate steps. </w:t>
      </w:r>
    </w:p>
    <w:p>
      <w:pPr>
        <w:pStyle w:val="TextBody"/>
        <w:bidi w:val="0"/>
        <w:spacing w:lineRule="auto" w:line="288" w:before="0" w:after="200"/>
        <w:ind w:left="0" w:right="0" w:hanging="677"/>
        <w:jc w:val="both"/>
        <w:rPr/>
      </w:pPr>
      <w:r>
        <w:rPr>
          <w:rFonts w:ascii="sans-serif" w:hAnsi="sans-serif"/>
          <w:b w:val="false"/>
          <w:color w:val="0070C0"/>
          <w:sz w:val="22"/>
        </w:rPr>
        <w:t>5.2</w:t>
      </w:r>
      <w:r>
        <w:rPr>
          <w:rFonts w:ascii="Times New Roman;serif" w:hAnsi="Times New Roman;serif"/>
          <w:b/>
          <w:color w:val="000000"/>
          <w:sz w:val="22"/>
        </w:rPr>
        <w:t>No Trading on Material Nonpublic Information</w:t>
      </w:r>
      <w:r>
        <w:rPr>
          <w:rFonts w:ascii="Times New Roman;serif" w:hAnsi="Times New Roman;serif"/>
          <w:b w:val="false"/>
          <w:color w:val="000000"/>
          <w:sz w:val="22"/>
        </w:rPr>
        <w:t>. If you are aware of material nonpublic information about Medline or its securities or Medline’s business partners or their securities gained as a result of your employment or other relationship with Medline, you should not engage in any transaction in Medline’s or such business partner’s securities, including any offer to purchase or sell, until the close of market following the completion of one (1) full trading day after the information has become public or the information is no longer material. In addition, you should also be aware that insider trading could include situations where, among other things, an insider trades in securities of other companies (e.g., competitors) based on material nonpublic information concerning the Company or its securities that you are aware of and that could reasonably be expected to affect the market value of those other companies’ securities.</w:t>
      </w:r>
    </w:p>
    <w:p>
      <w:pPr>
        <w:pStyle w:val="TextBody"/>
        <w:bidi w:val="0"/>
        <w:spacing w:lineRule="auto" w:line="288" w:before="0" w:after="200"/>
        <w:ind w:left="0" w:right="0" w:hanging="677"/>
        <w:jc w:val="both"/>
        <w:rPr/>
      </w:pPr>
      <w:r>
        <w:rPr>
          <w:rFonts w:ascii="sans-serif" w:hAnsi="sans-serif"/>
          <w:b w:val="false"/>
          <w:color w:val="0070C0"/>
          <w:sz w:val="22"/>
        </w:rPr>
        <w:t>5.3</w:t>
      </w:r>
      <w:r>
        <w:rPr>
          <w:rFonts w:ascii="Times New Roman;serif" w:hAnsi="Times New Roman;serif"/>
          <w:b/>
          <w:color w:val="000000"/>
          <w:sz w:val="22"/>
        </w:rPr>
        <w:t>No Tipping of Material Nonpublic Information</w:t>
      </w:r>
      <w:r>
        <w:rPr>
          <w:rFonts w:ascii="Times New Roman;serif" w:hAnsi="Times New Roman;serif"/>
          <w:b w:val="false"/>
          <w:color w:val="000000"/>
          <w:sz w:val="22"/>
        </w:rPr>
        <w:t>. You should not disclose (or “</w:t>
      </w:r>
      <w:r>
        <w:rPr>
          <w:rFonts w:ascii="Times New Roman;serif" w:hAnsi="Times New Roman;serif"/>
          <w:b w:val="false"/>
          <w:i/>
          <w:color w:val="000000"/>
          <w:sz w:val="22"/>
        </w:rPr>
        <w:t>tip</w:t>
      </w:r>
      <w:r>
        <w:rPr>
          <w:color w:val="000000"/>
        </w:rPr>
        <w:t>”</w:t>
      </w:r>
      <w:r>
        <w:rPr>
          <w:rFonts w:ascii="Times New Roman;serif" w:hAnsi="Times New Roman;serif"/>
          <w:b w:val="false"/>
          <w:color w:val="000000"/>
          <w:sz w:val="22"/>
        </w:rPr>
        <w:t>) material nonpublic information to any other person where such information may be used by the other person to trade in the securities of Medline or its business partner. Additionally, you should not make any recommendations or express any opinions as to trading in Medline’s or its business partner’s securities to any other person on the basis of material nonpublic information.</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If a person to whom you have passed material nonpublic information (or “tipped”) trades on the basis of that information, you may be subject to penalties for violation of securities laws even if you do not receive any money or derive any benefit from the trade. </w:t>
      </w:r>
    </w:p>
    <w:p>
      <w:pPr>
        <w:pStyle w:val="TextBody"/>
        <w:bidi w:val="0"/>
        <w:spacing w:lineRule="auto" w:line="288" w:before="0" w:after="200"/>
        <w:ind w:left="0" w:right="0" w:hanging="677"/>
        <w:jc w:val="both"/>
        <w:rPr/>
      </w:pPr>
      <w:r>
        <w:rPr>
          <w:rFonts w:ascii="sans-serif" w:hAnsi="sans-serif"/>
          <w:b w:val="false"/>
          <w:color w:val="0070C0"/>
          <w:sz w:val="22"/>
        </w:rPr>
        <w:t>5.4</w:t>
      </w:r>
      <w:r>
        <w:rPr>
          <w:rFonts w:ascii="Times New Roman;serif" w:hAnsi="Times New Roman;serif"/>
          <w:b/>
          <w:color w:val="000000"/>
          <w:sz w:val="22"/>
        </w:rPr>
        <w:t>No Speculative Transactions</w:t>
      </w:r>
      <w:r>
        <w:rPr>
          <w:rFonts w:ascii="Times New Roman;serif" w:hAnsi="Times New Roman;serif"/>
          <w:b w:val="false"/>
          <w:color w:val="000000"/>
          <w:sz w:val="22"/>
        </w:rPr>
        <w:t xml:space="preserve">. Medline considers it improper and inappropriate for you to engage in speculative transactions in Medline securities that may create a conflict of interest, be perceived as undermining the alignment of your interests with those of other stockholders, or result in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inadvertent violations of insider trading laws. Accordingly, you may not engage in any of the following transactions with respect to Medline securities.</w:t>
      </w:r>
    </w:p>
    <w:p>
      <w:pPr>
        <w:pStyle w:val="TextBody"/>
        <w:bidi w:val="0"/>
        <w:spacing w:lineRule="auto" w:line="240" w:before="0" w:after="200"/>
        <w:ind w:left="0" w:right="0" w:hanging="630"/>
        <w:jc w:val="both"/>
        <w:rPr/>
      </w:pPr>
      <w:r>
        <w:rPr>
          <w:rFonts w:ascii="sans-serif" w:hAnsi="sans-serif"/>
          <w:b w:val="false"/>
          <w:color w:val="0070C0"/>
          <w:sz w:val="22"/>
        </w:rPr>
        <w:t>5.4.1.</w:t>
      </w:r>
      <w:r>
        <w:rPr>
          <w:rFonts w:ascii="Times New Roman;serif" w:hAnsi="Times New Roman;serif"/>
          <w:b/>
          <w:color w:val="000000"/>
          <w:sz w:val="22"/>
        </w:rPr>
        <w:t>No Hedging</w:t>
      </w:r>
      <w:r>
        <w:rPr>
          <w:rFonts w:ascii="Times New Roman;serif" w:hAnsi="Times New Roman;serif"/>
          <w:b w:val="false"/>
          <w:color w:val="000000"/>
          <w:sz w:val="22"/>
        </w:rPr>
        <w:t>. You may not engage in hedging or monetization transactions of Medline securities, including any use of financial instruments such as prepaid variable forwards, equity swaps, collars, or exchange funds or other transactions designed to offset any decrease in the market value of Medline securities.</w:t>
      </w:r>
    </w:p>
    <w:p>
      <w:pPr>
        <w:pStyle w:val="TextBody"/>
        <w:bidi w:val="0"/>
        <w:spacing w:lineRule="auto" w:line="240" w:before="0" w:after="200"/>
        <w:ind w:left="0" w:right="0" w:hanging="630"/>
        <w:jc w:val="both"/>
        <w:rPr/>
      </w:pPr>
      <w:r>
        <w:rPr>
          <w:rFonts w:ascii="sans-serif" w:hAnsi="sans-serif"/>
          <w:b w:val="false"/>
          <w:color w:val="0070C0"/>
          <w:sz w:val="22"/>
        </w:rPr>
        <w:t>5.4.2.</w:t>
      </w:r>
      <w:r>
        <w:rPr>
          <w:rFonts w:ascii="Times New Roman;serif" w:hAnsi="Times New Roman;serif"/>
          <w:b/>
          <w:color w:val="000000"/>
          <w:sz w:val="22"/>
        </w:rPr>
        <w:t>No Transactions in Derivative Securities</w:t>
      </w:r>
      <w:r>
        <w:rPr>
          <w:rFonts w:ascii="Times New Roman;serif" w:hAnsi="Times New Roman;serif"/>
          <w:b w:val="false"/>
          <w:color w:val="000000"/>
          <w:sz w:val="22"/>
        </w:rPr>
        <w:t>. You may not engage in transactions involving Medline-based derivative securities that create an actual or potential bet against Medline (i.e., making money when the Medline stock price goes down). Derivative securities include options, warrants, convertible securities, and stock appreciation or similar rights whose value is derived from the value of an equity security, such as Medline common stock. This prohibition includes, but is not limited to, trading in Medline-based put or call option contracts.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Holding and exercising stock options or other derivative securities granted under the Company’s equity compensation plans is not prohibited by this Policy.</w:t>
      </w:r>
    </w:p>
    <w:p>
      <w:pPr>
        <w:pStyle w:val="TextBody"/>
        <w:bidi w:val="0"/>
        <w:spacing w:before="0" w:after="0"/>
        <w:ind w:left="0" w:right="0" w:hanging="270"/>
        <w:jc w:val="both"/>
        <w:rPr/>
      </w:pPr>
      <w:r>
        <w:rPr/>
      </w:r>
    </w:p>
    <w:p>
      <w:pPr>
        <w:pStyle w:val="TextBody"/>
        <w:bidi w:val="0"/>
        <w:spacing w:lineRule="auto" w:line="240" w:before="0" w:after="200"/>
        <w:ind w:left="0" w:right="0" w:hanging="630"/>
        <w:jc w:val="both"/>
        <w:rPr/>
      </w:pPr>
      <w:r>
        <w:rPr>
          <w:rFonts w:ascii="sans-serif" w:hAnsi="sans-serif"/>
          <w:b w:val="false"/>
          <w:color w:val="0070C0"/>
          <w:sz w:val="22"/>
        </w:rPr>
        <w:t>5.4.3.</w:t>
      </w:r>
      <w:r>
        <w:rPr>
          <w:rFonts w:ascii="Times New Roman;serif" w:hAnsi="Times New Roman;serif"/>
          <w:b/>
          <w:color w:val="000000"/>
          <w:sz w:val="22"/>
        </w:rPr>
        <w:t>No Pledging or Purchasing Medline Securities on Margin</w:t>
      </w:r>
      <w:r>
        <w:rPr>
          <w:rFonts w:ascii="Times New Roman;serif" w:hAnsi="Times New Roman;serif"/>
          <w:b w:val="false"/>
          <w:color w:val="000000"/>
          <w:sz w:val="22"/>
        </w:rPr>
        <w:t xml:space="preserve">. You may not pledge, borrow against, or purchase Medline securities on margin. Securities pledged or held in a margin account as collateral for a loan may be sold by the broker without your consent if you fail to meet a margin call or default on the loan, which may result in you unlawfully engaging in insider trading. </w:t>
      </w:r>
    </w:p>
    <w:p>
      <w:pPr>
        <w:pStyle w:val="TextBody"/>
        <w:bidi w:val="0"/>
        <w:spacing w:lineRule="auto" w:line="240" w:before="0" w:after="200"/>
        <w:ind w:left="0" w:right="0" w:hanging="630"/>
        <w:jc w:val="both"/>
        <w:rPr/>
      </w:pPr>
      <w:r>
        <w:rPr>
          <w:rFonts w:ascii="sans-serif" w:hAnsi="sans-serif"/>
          <w:b w:val="false"/>
          <w:color w:val="0070C0"/>
          <w:sz w:val="22"/>
        </w:rPr>
        <w:t>5.4.4.</w:t>
      </w:r>
      <w:r>
        <w:rPr>
          <w:rFonts w:ascii="Times New Roman;serif" w:hAnsi="Times New Roman;serif"/>
          <w:b/>
          <w:color w:val="000000"/>
          <w:sz w:val="22"/>
        </w:rPr>
        <w:t>No Short Sales</w:t>
      </w:r>
      <w:r>
        <w:rPr>
          <w:rFonts w:ascii="Times New Roman;serif" w:hAnsi="Times New Roman;serif"/>
          <w:b w:val="false"/>
          <w:color w:val="000000"/>
          <w:sz w:val="22"/>
        </w:rPr>
        <w:t>. You may not engage in short sales of Medline securities. A short sale is a sale of securities not owned by you or, if owned, not delivered against such sale within twenty (20) days thereafter (a “short against the box”). Short selling usually involves the borrowing of securities to sell with the expectation of the price dropping and the intent of buying the securities back at a lower price to replace the borrowed securities and you must terminate any standing or limit order prior to the beginning of any blackout period or if you subsequently obtain material nonpublic information.</w:t>
      </w:r>
    </w:p>
    <w:p>
      <w:pPr>
        <w:pStyle w:val="TextBody"/>
        <w:bidi w:val="0"/>
        <w:spacing w:lineRule="auto" w:line="240" w:before="0" w:after="200"/>
        <w:ind w:left="0" w:right="0" w:hanging="630"/>
        <w:jc w:val="both"/>
        <w:rPr/>
      </w:pPr>
      <w:r>
        <w:rPr>
          <w:rFonts w:ascii="sans-serif" w:hAnsi="sans-serif"/>
          <w:b w:val="false"/>
          <w:color w:val="0070C0"/>
          <w:sz w:val="22"/>
        </w:rPr>
        <w:t>5.4.5.</w:t>
      </w:r>
      <w:r>
        <w:rPr>
          <w:rFonts w:ascii="Times New Roman;serif" w:hAnsi="Times New Roman;serif"/>
          <w:b/>
          <w:color w:val="000000"/>
          <w:sz w:val="22"/>
        </w:rPr>
        <w:t>No Standing or Limit Orders in Excess of Three Trading Days</w:t>
      </w:r>
      <w:r>
        <w:rPr>
          <w:rFonts w:ascii="Times New Roman;serif" w:hAnsi="Times New Roman;serif"/>
          <w:b w:val="false"/>
          <w:color w:val="000000"/>
          <w:sz w:val="22"/>
        </w:rPr>
        <w:t xml:space="preserve">. You may not place a standing or limit order with a broker or bank to buy or sell Medline securities that has a duration longer than three (3) trading days,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Preclearance Insiders (as defined below) may not place any standing or limit order. In addition, you must cancel any pending standing or limit order before any quarterly or special blackout period begins, or if you subsequently become aware of material nonpublic information, to prevent an order from being executed while you are restricted from trading.</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Trades made pursuant to a Rule 10b5-1 Trading Plan (as defined below) approved by the Corporate Secretary are not prohibited by this Policy.</w:t>
      </w:r>
    </w:p>
    <w:p>
      <w:pPr>
        <w:pStyle w:val="TextBody"/>
        <w:bidi w:val="0"/>
        <w:spacing w:before="0" w:after="0"/>
        <w:ind w:left="0" w:right="0" w:firstLine="360"/>
        <w:jc w:val="left"/>
        <w:rPr/>
      </w:pPr>
      <w:r>
        <w:rPr/>
      </w:r>
    </w:p>
    <w:p>
      <w:pPr>
        <w:pStyle w:val="TextBody"/>
        <w:bidi w:val="0"/>
        <w:spacing w:lineRule="auto" w:line="288" w:before="0" w:after="200"/>
        <w:ind w:left="0" w:right="0" w:hanging="677"/>
        <w:jc w:val="both"/>
        <w:rPr/>
      </w:pPr>
      <w:r>
        <w:rPr>
          <w:rFonts w:ascii="sans-serif" w:hAnsi="sans-serif"/>
          <w:b w:val="false"/>
          <w:color w:val="0070C0"/>
          <w:sz w:val="22"/>
        </w:rPr>
        <w:t>5.5</w:t>
      </w:r>
      <w:r>
        <w:rPr>
          <w:rFonts w:ascii="Times New Roman;serif" w:hAnsi="Times New Roman;serif"/>
          <w:b/>
          <w:color w:val="000000"/>
          <w:sz w:val="22"/>
        </w:rPr>
        <w:t>Special Blackout Periods</w:t>
      </w:r>
      <w:r>
        <w:rPr>
          <w:rFonts w:ascii="Times New Roman;serif" w:hAnsi="Times New Roman;serif"/>
          <w:b w:val="false"/>
          <w:color w:val="000000"/>
          <w:sz w:val="22"/>
        </w:rPr>
        <w:t xml:space="preserve">. From time to time, Medline may impose special blackout periods for certain individuals who are aware of, or involved in, certain projects (such as major corporate transactions, changes in senior management, or other potentially material events), upon e-mail or other written notification to those affected. If you are notified of such a restriction, you may not trade during the special blackout period. If you are subject to a special blackout period, or otherwise made aware of the existence of a special blackout period, </w:t>
      </w:r>
      <w:r>
        <w:rPr>
          <w:rFonts w:ascii="Times New Roman;serif" w:hAnsi="Times New Roman;serif"/>
          <w:b w:val="false"/>
          <w:color w:val="000000"/>
          <w:sz w:val="22"/>
          <w:u w:val="single"/>
        </w:rPr>
        <w:t>you may not disclose the existence of such blackout period</w:t>
      </w:r>
      <w:r>
        <w:rPr>
          <w:color w:val="000000"/>
        </w:rPr>
        <w:t xml:space="preserve"> </w:t>
      </w:r>
      <w:r>
        <w:rPr>
          <w:rFonts w:ascii="Times New Roman;serif" w:hAnsi="Times New Roman;serif"/>
          <w:b w:val="false"/>
          <w:color w:val="000000"/>
          <w:sz w:val="22"/>
        </w:rPr>
        <w:t xml:space="preserve">to any other person, even within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br/>
        <w:t>Even if you have not been notified that you are subject to a special blackout period, you are still prohibited from trading if you are aware of material nonpublic information.</w:t>
      </w:r>
    </w:p>
    <w:p>
      <w:pPr>
        <w:pStyle w:val="TextBody"/>
        <w:bidi w:val="0"/>
        <w:spacing w:lineRule="auto" w:line="240" w:before="0" w:after="200"/>
        <w:ind w:left="0" w:right="0" w:hanging="360"/>
        <w:jc w:val="both"/>
        <w:rPr/>
      </w:pPr>
      <w:r>
        <w:rPr>
          <w:rFonts w:ascii="sans-serif" w:hAnsi="sans-serif"/>
          <w:b/>
          <w:color w:val="002060"/>
          <w:sz w:val="24"/>
        </w:rPr>
        <w:t>6.</w:t>
      </w:r>
      <w:r>
        <w:rPr>
          <w:rFonts w:ascii="Times New Roman;serif" w:hAnsi="Times New Roman;serif"/>
          <w:b/>
          <w:color w:val="000000"/>
          <w:sz w:val="22"/>
        </w:rPr>
        <w:t>Additional Rules for Blackout Insiders</w:t>
      </w:r>
    </w:p>
    <w:p>
      <w:pPr>
        <w:pStyle w:val="TextBody"/>
        <w:bidi w:val="0"/>
        <w:spacing w:lineRule="auto" w:line="288" w:before="0" w:after="0"/>
        <w:jc w:val="both"/>
        <w:rPr/>
      </w:pPr>
      <w:r>
        <w:rPr>
          <w:rFonts w:ascii="Times New Roman;serif" w:hAnsi="Times New Roman;serif"/>
          <w:b w:val="false"/>
          <w:color w:val="000000"/>
          <w:sz w:val="22"/>
        </w:rPr>
        <w:t xml:space="preserve">The following rules apply </w:t>
      </w:r>
      <w:r>
        <w:rPr>
          <w:rFonts w:ascii="Times New Roman;serif" w:hAnsi="Times New Roman;serif"/>
          <w:b w:val="false"/>
          <w:color w:val="000000"/>
          <w:sz w:val="22"/>
          <w:u w:val="single"/>
        </w:rPr>
        <w:t>only</w:t>
      </w:r>
      <w:r>
        <w:rPr>
          <w:color w:val="000000"/>
        </w:rPr>
        <w:t xml:space="preserve"> </w:t>
      </w:r>
      <w:r>
        <w:rPr>
          <w:rFonts w:ascii="Times New Roman;serif" w:hAnsi="Times New Roman;serif"/>
          <w:b w:val="false"/>
          <w:color w:val="000000"/>
          <w:sz w:val="22"/>
        </w:rPr>
        <w:t>to Blackout Insiders.</w:t>
      </w:r>
    </w:p>
    <w:p>
      <w:pPr>
        <w:pStyle w:val="TextBody"/>
        <w:bidi w:val="0"/>
        <w:spacing w:lineRule="auto" w:line="288" w:before="0" w:after="200"/>
        <w:ind w:left="0" w:right="0" w:hanging="677"/>
        <w:jc w:val="both"/>
        <w:rPr/>
      </w:pPr>
      <w:r>
        <w:rPr>
          <w:rFonts w:ascii="sans-serif" w:hAnsi="sans-serif"/>
          <w:b w:val="false"/>
          <w:color w:val="0070C0"/>
          <w:sz w:val="22"/>
        </w:rPr>
        <w:t>6.1</w:t>
      </w:r>
      <w:r>
        <w:rPr>
          <w:rFonts w:ascii="Times New Roman;serif" w:hAnsi="Times New Roman;serif"/>
          <w:b/>
          <w:color w:val="000000"/>
          <w:sz w:val="22"/>
        </w:rPr>
        <w:t xml:space="preserve">Who is a Blackout Insider? </w:t>
      </w:r>
      <w:r>
        <w:rPr>
          <w:rFonts w:ascii="Times New Roman;serif" w:hAnsi="Times New Roman;serif"/>
          <w:b w:val="false"/>
          <w:color w:val="000000"/>
          <w:sz w:val="22"/>
        </w:rPr>
        <w:t xml:space="preserve">All of the following individuals, </w:t>
      </w:r>
      <w:r>
        <w:rPr>
          <w:rFonts w:ascii="Times New Roman;serif" w:hAnsi="Times New Roman;serif"/>
          <w:b w:val="false"/>
          <w:i/>
          <w:color w:val="000000"/>
          <w:sz w:val="22"/>
          <w:u w:val="single"/>
        </w:rPr>
        <w:t>including</w:t>
      </w:r>
      <w:r>
        <w:rPr>
          <w:color w:val="000000"/>
        </w:rPr>
        <w:t xml:space="preserve"> </w:t>
      </w:r>
      <w:r>
        <w:rPr>
          <w:rFonts w:ascii="Times New Roman;serif" w:hAnsi="Times New Roman;serif"/>
          <w:b w:val="false"/>
          <w:color w:val="000000"/>
          <w:sz w:val="22"/>
        </w:rPr>
        <w:t>their Related Persons: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Medline Board members;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officers designated by the Board as Section 16 reporting officers (“</w:t>
      </w:r>
      <w:r>
        <w:rPr>
          <w:rFonts w:ascii="Times New Roman;serif" w:hAnsi="Times New Roman;serif"/>
          <w:b/>
          <w:color w:val="000000"/>
          <w:sz w:val="22"/>
        </w:rPr>
        <w:t>Section 16 officers</w:t>
      </w:r>
      <w:r>
        <w:rPr>
          <w:color w:val="000000"/>
        </w:rPr>
        <w:t>”</w:t>
      </w:r>
      <w:r>
        <w:rPr>
          <w:rFonts w:ascii="Times New Roman;serif" w:hAnsi="Times New Roman;serif"/>
          <w:b w:val="false"/>
          <w:color w:val="000000"/>
          <w:sz w:val="22"/>
        </w:rPr>
        <w:t>);</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all members of Medline’s executive leadership team (“</w:t>
      </w:r>
      <w:r>
        <w:rPr>
          <w:rFonts w:ascii="Times New Roman;serif" w:hAnsi="Times New Roman;serif"/>
          <w:b/>
          <w:color w:val="000000"/>
          <w:sz w:val="22"/>
        </w:rPr>
        <w:t>ELT</w:t>
      </w:r>
      <w:r>
        <w:rPr>
          <w:color w:val="000000"/>
        </w:rPr>
        <w:t>”</w:t>
      </w:r>
      <w:r>
        <w:rPr>
          <w:rFonts w:ascii="Times New Roman;serif" w:hAnsi="Times New Roman;serif"/>
          <w:b w:val="false"/>
          <w:color w:val="000000"/>
          <w:sz w:val="22"/>
        </w:rPr>
        <w:t>) not otherwise Section 16 officers;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all others included as Blackout Insiders in the Company’s Trading Blackout and Preclearance Insider List (“</w:t>
      </w:r>
      <w:r>
        <w:rPr>
          <w:rFonts w:ascii="Times New Roman;serif" w:hAnsi="Times New Roman;serif"/>
          <w:b/>
          <w:color w:val="000000"/>
          <w:sz w:val="22"/>
        </w:rPr>
        <w:t>Trading List</w:t>
      </w:r>
      <w:r>
        <w:rPr>
          <w:color w:val="000000"/>
        </w:rPr>
        <w:t>”</w:t>
      </w:r>
      <w:r>
        <w:rPr>
          <w:rFonts w:ascii="Times New Roman;serif" w:hAnsi="Times New Roman;serif"/>
          <w:b w:val="false"/>
          <w:color w:val="000000"/>
          <w:sz w:val="22"/>
        </w:rPr>
        <w:t>) maintained by the Corporate Secretary; and</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any others notified from time to time via e-mail or other written notification by the Corporate Secretary.</w:t>
      </w:r>
    </w:p>
    <w:p>
      <w:pPr>
        <w:pStyle w:val="TextBody"/>
        <w:bidi w:val="0"/>
        <w:spacing w:lineRule="auto" w:line="288" w:before="0" w:after="200"/>
        <w:ind w:left="0" w:right="0" w:hanging="677"/>
        <w:jc w:val="both"/>
        <w:rPr/>
      </w:pPr>
      <w:r>
        <w:rPr>
          <w:rFonts w:ascii="sans-serif" w:hAnsi="sans-serif"/>
          <w:b w:val="false"/>
          <w:color w:val="0070C0"/>
          <w:sz w:val="22"/>
        </w:rPr>
        <w:t>6.2</w:t>
      </w:r>
      <w:r>
        <w:rPr>
          <w:rFonts w:ascii="Times New Roman;serif" w:hAnsi="Times New Roman;serif"/>
          <w:b/>
          <w:color w:val="000000"/>
          <w:sz w:val="22"/>
        </w:rPr>
        <w:t>No Trading During Blackout Periods</w:t>
      </w:r>
      <w:r>
        <w:rPr>
          <w:rFonts w:ascii="Times New Roman;serif" w:hAnsi="Times New Roman;serif"/>
          <w:b w:val="false"/>
          <w:color w:val="000000"/>
          <w:sz w:val="22"/>
        </w:rPr>
        <w:t>.</w:t>
      </w:r>
    </w:p>
    <w:p>
      <w:pPr>
        <w:pStyle w:val="TextBody"/>
        <w:bidi w:val="0"/>
        <w:spacing w:lineRule="auto" w:line="240" w:before="0" w:after="200"/>
        <w:ind w:left="0" w:right="0" w:hanging="630"/>
        <w:jc w:val="both"/>
        <w:rPr/>
      </w:pPr>
      <w:r>
        <w:rPr>
          <w:rFonts w:ascii="sans-serif" w:hAnsi="sans-serif"/>
          <w:b w:val="false"/>
          <w:color w:val="0070C0"/>
          <w:sz w:val="22"/>
        </w:rPr>
        <w:t>6.2.1.</w:t>
      </w:r>
      <w:r>
        <w:rPr>
          <w:rFonts w:ascii="Times New Roman;serif" w:hAnsi="Times New Roman;serif"/>
          <w:b/>
          <w:color w:val="000000"/>
          <w:sz w:val="22"/>
        </w:rPr>
        <w:t>Quarterly Blackout Period</w:t>
      </w:r>
      <w:r>
        <w:rPr>
          <w:rFonts w:ascii="Times New Roman;serif" w:hAnsi="Times New Roman;serif"/>
          <w:b w:val="false"/>
          <w:color w:val="000000"/>
          <w:sz w:val="22"/>
        </w:rPr>
        <w:t xml:space="preserve">. Blackout Insiders may not trade Medline securities during the period generally </w:t>
      </w:r>
      <w:r>
        <w:rPr>
          <w:rFonts w:ascii="Times New Roman;serif" w:hAnsi="Times New Roman;serif"/>
          <w:b/>
          <w:i/>
          <w:color w:val="000000"/>
          <w:sz w:val="22"/>
          <w:u w:val="single"/>
        </w:rPr>
        <w:t>beginning</w:t>
      </w:r>
      <w:r>
        <w:rPr>
          <w:color w:val="000000"/>
        </w:rPr>
        <w:t xml:space="preserve"> </w:t>
      </w:r>
      <w:r>
        <w:rPr>
          <w:rFonts w:ascii="Times New Roman;serif" w:hAnsi="Times New Roman;serif"/>
          <w:b w:val="false"/>
          <w:color w:val="000000"/>
          <w:sz w:val="22"/>
        </w:rPr>
        <w:t xml:space="preserve">at close of market on the first Friday of the last month of each fiscal quarter and </w:t>
      </w:r>
      <w:r>
        <w:rPr>
          <w:rFonts w:ascii="Times New Roman;serif" w:hAnsi="Times New Roman;serif"/>
          <w:b/>
          <w:i/>
          <w:color w:val="000000"/>
          <w:sz w:val="22"/>
          <w:u w:val="single"/>
        </w:rPr>
        <w:t>ending</w:t>
      </w:r>
      <w:r>
        <w:rPr>
          <w:color w:val="000000"/>
        </w:rPr>
        <w:t xml:space="preserve"> </w:t>
      </w:r>
      <w:r>
        <w:rPr>
          <w:rFonts w:ascii="Times New Roman;serif" w:hAnsi="Times New Roman;serif"/>
          <w:b w:val="false"/>
          <w:color w:val="000000"/>
          <w:sz w:val="22"/>
        </w:rPr>
        <w:t xml:space="preserve">at the close of market following the completion of one (1) full trading day after the public release of Medline’s earnings results for that quarter. </w:t>
      </w:r>
    </w:p>
    <w:p>
      <w:pPr>
        <w:pStyle w:val="TextBody"/>
        <w:bidi w:val="0"/>
        <w:spacing w:lineRule="auto" w:line="288" w:before="0" w:after="0"/>
        <w:jc w:val="both"/>
        <w:rPr/>
      </w:pPr>
      <w:r>
        <w:rPr>
          <w:rFonts w:ascii="Times New Roman;serif" w:hAnsi="Times New Roman;serif"/>
          <w:b w:val="false"/>
          <w:i/>
          <w:color w:val="000000"/>
          <w:sz w:val="22"/>
        </w:rPr>
        <w:t>For example</w:t>
      </w:r>
      <w:r>
        <w:rPr>
          <w:rFonts w:ascii="Times New Roman;serif" w:hAnsi="Times New Roman;serif"/>
          <w:b w:val="false"/>
          <w:color w:val="000000"/>
          <w:sz w:val="22"/>
        </w:rPr>
        <w:t xml:space="preserve">: If Medline publicly releases its earnings results on Wednesday </w:t>
      </w:r>
      <w:r>
        <w:rPr>
          <w:rFonts w:ascii="Times New Roman;serif" w:hAnsi="Times New Roman;serif"/>
          <w:b w:val="false"/>
          <w:color w:val="000000"/>
          <w:sz w:val="22"/>
          <w:u w:val="single"/>
        </w:rPr>
        <w:t>before</w:t>
      </w:r>
      <w:r>
        <w:rPr>
          <w:color w:val="000000"/>
        </w:rPr>
        <w:t xml:space="preserve"> </w:t>
      </w:r>
      <w:r>
        <w:rPr>
          <w:rFonts w:ascii="Times New Roman;serif" w:hAnsi="Times New Roman;serif"/>
          <w:b w:val="false"/>
          <w:color w:val="000000"/>
          <w:sz w:val="22"/>
        </w:rPr>
        <w:t xml:space="preserve">Nasdaq opens for trading, you may begin trading as soon as the market closes on Wednesday. If Medline publicly releases its earnings results on Wednesday </w:t>
      </w:r>
      <w:r>
        <w:rPr>
          <w:rFonts w:ascii="Times New Roman;serif" w:hAnsi="Times New Roman;serif"/>
          <w:b w:val="false"/>
          <w:color w:val="000000"/>
          <w:sz w:val="22"/>
          <w:u w:val="single"/>
        </w:rPr>
        <w:t>after</w:t>
      </w:r>
      <w:r>
        <w:rPr>
          <w:color w:val="000000"/>
        </w:rPr>
        <w:t xml:space="preserve"> </w:t>
      </w:r>
      <w:r>
        <w:rPr>
          <w:rFonts w:ascii="Times New Roman;serif" w:hAnsi="Times New Roman;serif"/>
          <w:b w:val="false"/>
          <w:color w:val="000000"/>
          <w:sz w:val="22"/>
        </w:rPr>
        <w:t>Nasdaq closes for trading, you may begin trading as soon as the market closes on Thursday.</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The exact dates and times of each quarterly blackout period may be extended as determined by Medline and communicated via e-mail or other written notification to Blackout Insiders.</w:t>
      </w:r>
    </w:p>
    <w:p>
      <w:pPr>
        <w:pStyle w:val="TextBody"/>
        <w:bidi w:val="0"/>
        <w:spacing w:lineRule="auto" w:line="240" w:before="0" w:after="200"/>
        <w:ind w:left="0" w:right="0" w:hanging="360"/>
        <w:jc w:val="both"/>
        <w:rPr/>
      </w:pPr>
      <w:r>
        <w:rPr>
          <w:rFonts w:ascii="sans-serif" w:hAnsi="sans-serif"/>
          <w:b/>
          <w:color w:val="002060"/>
          <w:sz w:val="24"/>
        </w:rPr>
        <w:t>7.</w:t>
      </w:r>
      <w:r>
        <w:rPr>
          <w:rFonts w:ascii="Times New Roman;serif" w:hAnsi="Times New Roman;serif"/>
          <w:b/>
          <w:color w:val="000000"/>
          <w:sz w:val="22"/>
        </w:rPr>
        <w:t>Additional Rules for Preclearance Insiders</w:t>
      </w:r>
    </w:p>
    <w:p>
      <w:pPr>
        <w:pStyle w:val="TextBody"/>
        <w:bidi w:val="0"/>
        <w:spacing w:lineRule="auto" w:line="288" w:before="0" w:after="0"/>
        <w:jc w:val="both"/>
        <w:rPr/>
      </w:pPr>
      <w:r>
        <w:rPr>
          <w:rFonts w:ascii="Times New Roman;serif" w:hAnsi="Times New Roman;serif"/>
          <w:b w:val="false"/>
          <w:color w:val="000000"/>
          <w:sz w:val="22"/>
        </w:rPr>
        <w:t xml:space="preserve">The following rules apply </w:t>
      </w:r>
      <w:r>
        <w:rPr>
          <w:rFonts w:ascii="Times New Roman;serif" w:hAnsi="Times New Roman;serif"/>
          <w:b w:val="false"/>
          <w:color w:val="000000"/>
          <w:sz w:val="22"/>
          <w:u w:val="single"/>
        </w:rPr>
        <w:t>only</w:t>
      </w:r>
      <w:r>
        <w:rPr>
          <w:color w:val="000000"/>
        </w:rPr>
        <w:t xml:space="preserve"> </w:t>
      </w:r>
      <w:r>
        <w:rPr>
          <w:rFonts w:ascii="Times New Roman;serif" w:hAnsi="Times New Roman;serif"/>
          <w:b w:val="false"/>
          <w:color w:val="000000"/>
          <w:sz w:val="22"/>
        </w:rPr>
        <w:t>to Preclearance Insiders.</w:t>
      </w:r>
    </w:p>
    <w:p>
      <w:pPr>
        <w:pStyle w:val="TextBody"/>
        <w:bidi w:val="0"/>
        <w:spacing w:lineRule="auto" w:line="288" w:before="0" w:after="200"/>
        <w:ind w:left="0" w:right="0" w:hanging="677"/>
        <w:jc w:val="both"/>
        <w:rPr/>
      </w:pPr>
      <w:r>
        <w:rPr>
          <w:rFonts w:ascii="sans-serif" w:hAnsi="sans-serif"/>
          <w:b w:val="false"/>
          <w:color w:val="0070C0"/>
          <w:sz w:val="22"/>
        </w:rPr>
        <w:t>7.1</w:t>
      </w:r>
      <w:r>
        <w:rPr>
          <w:rFonts w:ascii="Times New Roman;serif" w:hAnsi="Times New Roman;serif"/>
          <w:b/>
          <w:color w:val="000000"/>
          <w:sz w:val="22"/>
        </w:rPr>
        <w:t xml:space="preserve">Who is a Preclearance Insider? </w:t>
      </w:r>
      <w:r>
        <w:rPr>
          <w:rFonts w:ascii="Times New Roman;serif" w:hAnsi="Times New Roman;serif"/>
          <w:b w:val="false"/>
          <w:color w:val="000000"/>
          <w:sz w:val="22"/>
        </w:rPr>
        <w:t xml:space="preserve">All of the following individuals, </w:t>
      </w:r>
      <w:r>
        <w:rPr>
          <w:rFonts w:ascii="Times New Roman;serif" w:hAnsi="Times New Roman;serif"/>
          <w:b w:val="false"/>
          <w:i/>
          <w:color w:val="000000"/>
          <w:sz w:val="22"/>
          <w:u w:val="single"/>
        </w:rPr>
        <w:t>including</w:t>
      </w:r>
      <w:r>
        <w:rPr>
          <w:color w:val="000000"/>
        </w:rPr>
        <w:t xml:space="preserve"> </w:t>
      </w:r>
      <w:r>
        <w:rPr>
          <w:rFonts w:ascii="Times New Roman;serif" w:hAnsi="Times New Roman;serif"/>
          <w:b w:val="false"/>
          <w:color w:val="000000"/>
          <w:sz w:val="22"/>
        </w:rPr>
        <w:t>their Related Persons: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Medline Board members*;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Section 16 officers*;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members of the ELT not otherwise Section 16 officers;</w:t>
      </w:r>
    </w:p>
    <w:p>
      <w:pPr>
        <w:pStyle w:val="TextBody"/>
        <w:bidi w:val="0"/>
        <w:spacing w:lineRule="auto" w:line="240" w:before="0" w:after="60"/>
        <w:ind w:left="0" w:right="0" w:hanging="360"/>
        <w:jc w:val="both"/>
        <w:rPr/>
      </w:pPr>
      <w:r>
        <w:rPr>
          <w:color w:val="F98723"/>
        </w:rPr>
        <w:t>▪</w:t>
      </w:r>
      <w:r>
        <w:rPr>
          <w:rFonts w:ascii="Times New Roman;serif" w:hAnsi="Times New Roman;serif"/>
          <w:b w:val="false"/>
          <w:color w:val="000000"/>
          <w:sz w:val="22"/>
        </w:rPr>
        <w:t>all others identified as Preclearance Insider in the Trading List maintained by the Corporate Secretary; and</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any others notified from time to time via e-mail or other written notification by the Corporate Secretary.</w:t>
      </w:r>
    </w:p>
    <w:p>
      <w:pPr>
        <w:pStyle w:val="TextBody"/>
        <w:bidi w:val="0"/>
        <w:spacing w:lineRule="auto" w:line="288"/>
        <w:ind w:left="0" w:right="0" w:hanging="360"/>
        <w:jc w:val="both"/>
        <w:rPr/>
      </w:pPr>
      <w:r>
        <w:rPr>
          <w:rFonts w:ascii="Arial;sans-serif" w:hAnsi="Arial;sans-serif"/>
          <w:b w:val="false"/>
          <w:color w:val="000000"/>
          <w:sz w:val="24"/>
        </w:rPr>
        <w:t>*    </w:t>
      </w:r>
      <w:r>
        <w:rPr>
          <w:rFonts w:ascii="Times New Roman;serif" w:hAnsi="Times New Roman;serif"/>
          <w:b w:val="false"/>
          <w:i/>
          <w:color w:val="000000"/>
          <w:sz w:val="22"/>
        </w:rPr>
        <w:t xml:space="preserve">If you cease to be a Board member or Section 16 officer, you remain subject to the preclearance requirements for a period of six (6) months.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677"/>
        <w:jc w:val="both"/>
        <w:rPr/>
      </w:pPr>
      <w:r>
        <w:rPr>
          <w:rFonts w:ascii="sans-serif" w:hAnsi="sans-serif"/>
          <w:b w:val="false"/>
          <w:color w:val="0070C0"/>
          <w:sz w:val="22"/>
        </w:rPr>
        <w:t>7.2</w:t>
      </w:r>
      <w:r>
        <w:rPr>
          <w:rFonts w:ascii="Times New Roman;serif" w:hAnsi="Times New Roman;serif"/>
          <w:b/>
          <w:color w:val="000000"/>
          <w:sz w:val="22"/>
        </w:rPr>
        <w:t>Preclearance of Trades Required</w:t>
      </w:r>
      <w:r>
        <w:rPr>
          <w:rFonts w:ascii="Times New Roman;serif" w:hAnsi="Times New Roman;serif"/>
          <w:b w:val="false"/>
          <w:color w:val="000000"/>
          <w:sz w:val="22"/>
        </w:rPr>
        <w:t>. Preclearance Insiders may not, directly or indirectly, engage in any transaction (including any purchase, sale, transfer, gift, or contribution) in Medline securities without first obtaining preclearance by the Corporate Secretary (or their designee). Unless otherwise provided or revoked, clearance to trade will normally remain valid until the close of market three (3) full trading days following the day on which it was granted. If the transaction does not occur during such period, preclearance of the transaction must be re-requested.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If preclearance is not given, you should not communicate about it with anyone. Preclearance to trade does not constitute investment advice, legal advice, or legal defense to insider trading violations. Any decision to trade remains yours. Regardless of preclearance, you should not trade if you have or acquire material nonpublic information. </w:t>
      </w:r>
    </w:p>
    <w:p>
      <w:pPr>
        <w:pStyle w:val="TextBody"/>
        <w:bidi w:val="0"/>
        <w:spacing w:lineRule="auto" w:line="288" w:before="0" w:after="200"/>
        <w:ind w:left="0" w:right="0" w:hanging="677"/>
        <w:jc w:val="both"/>
        <w:rPr/>
      </w:pPr>
      <w:r>
        <w:rPr>
          <w:rFonts w:ascii="sans-serif" w:hAnsi="sans-serif"/>
          <w:b w:val="false"/>
          <w:color w:val="0070C0"/>
          <w:sz w:val="22"/>
        </w:rPr>
        <w:t>7.3</w:t>
      </w:r>
      <w:r>
        <w:rPr>
          <w:rFonts w:ascii="Times New Roman;serif" w:hAnsi="Times New Roman;serif"/>
          <w:b/>
          <w:color w:val="000000"/>
          <w:sz w:val="22"/>
        </w:rPr>
        <w:t>Section 16 Requirements</w:t>
      </w:r>
      <w:r>
        <w:rPr>
          <w:rFonts w:ascii="Times New Roman;serif" w:hAnsi="Times New Roman;serif"/>
          <w:b w:val="false"/>
          <w:color w:val="000000"/>
          <w:sz w:val="22"/>
        </w:rPr>
        <w:t>. All Medline Board members and Section 16 officers must comply with the reporting obligations and limitations on short-swing transactions set forth in Section 16 of the Securities Exchange Act of 1934, as amended (the “</w:t>
      </w:r>
      <w:r>
        <w:rPr>
          <w:rFonts w:ascii="Times New Roman;serif" w:hAnsi="Times New Roman;serif"/>
          <w:b/>
          <w:color w:val="000000"/>
          <w:sz w:val="22"/>
        </w:rPr>
        <w:t>Exchange Act</w:t>
      </w:r>
      <w:r>
        <w:rPr>
          <w:color w:val="000000"/>
        </w:rPr>
        <w:t>”</w:t>
      </w:r>
      <w:r>
        <w:rPr>
          <w:rFonts w:ascii="Times New Roman;serif" w:hAnsi="Times New Roman;serif"/>
          <w:b w:val="false"/>
          <w:color w:val="000000"/>
          <w:sz w:val="22"/>
        </w:rPr>
        <w:t>). The practical effect of these provisions is that Board members and Section 16 officers who purchase and sell Medline securities within a six (6)-month period must disgorge all profits to Medline whether or not they had knowledge of any material nonpublic information.</w:t>
      </w:r>
    </w:p>
    <w:p>
      <w:pPr>
        <w:pStyle w:val="TextBody"/>
        <w:bidi w:val="0"/>
        <w:spacing w:lineRule="auto" w:line="240" w:before="0" w:after="200"/>
        <w:ind w:left="0" w:right="0" w:hanging="360"/>
        <w:jc w:val="both"/>
        <w:rPr/>
      </w:pPr>
      <w:r>
        <w:rPr>
          <w:rFonts w:ascii="sans-serif" w:hAnsi="sans-serif"/>
          <w:b/>
          <w:color w:val="002060"/>
          <w:sz w:val="24"/>
        </w:rPr>
        <w:t>8.</w:t>
      </w:r>
      <w:r>
        <w:rPr>
          <w:rFonts w:ascii="Times New Roman;serif" w:hAnsi="Times New Roman;serif"/>
          <w:b/>
          <w:color w:val="000000"/>
          <w:sz w:val="22"/>
        </w:rPr>
        <w:t>General Exceptions to This Policy</w:t>
      </w:r>
    </w:p>
    <w:p>
      <w:pPr>
        <w:pStyle w:val="TextBody"/>
        <w:bidi w:val="0"/>
        <w:spacing w:lineRule="auto" w:line="288" w:before="0" w:after="200"/>
        <w:ind w:left="0" w:right="0" w:hanging="677"/>
        <w:jc w:val="both"/>
        <w:rPr/>
      </w:pPr>
      <w:r>
        <w:rPr>
          <w:rFonts w:ascii="sans-serif" w:hAnsi="sans-serif"/>
          <w:b w:val="false"/>
          <w:color w:val="0070C0"/>
          <w:sz w:val="22"/>
        </w:rPr>
        <w:t>8.1</w:t>
      </w:r>
      <w:r>
        <w:rPr>
          <w:rFonts w:ascii="Times New Roman;serif" w:hAnsi="Times New Roman;serif"/>
          <w:b w:val="false"/>
          <w:color w:val="000000"/>
          <w:sz w:val="22"/>
        </w:rPr>
        <w:t>The trading restrictions under this Policy do not apply to the following transactions. For questions about whether a transaction falls within these exceptions, contact the Corporate Secretary.</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The exercise of stock options for cash (not including the sale of any shares acquired upon such exercise, including as part of a broker-assisted cashless exercise of stock options).</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 xml:space="preserve">Purchases of Company stock under the ESPP resulting from periodic contributions to the ESPP under an election made at the time of enrollment;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the trading restrictions do apply to new elections to participate in the ESPP, changes in participation levels, and sales of stock purchased under the ESPP. </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Share withholding to satisfy tax obligations related to the vesting of an award made under any of the Company’s stock-based incentive plans (not including a market transaction or the sale of any such shares) or the vesting or settlement of such awards.</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Transactions conducted under a Rule 10b5-1 Plan reviewed and approved by the Corporate Secretary and in accordance with the Medline Rule 10b5-1 Trading Plan Guidelines.</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Transactions in mutual funds or exchange-traded funds that are invested in Medline securities so long as (a) you do not control the investment decisions on individual stocks within the fund and (b) Medline securities do not represent a substantial portion of the assets of the fund.</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Sales of Medline securities as a selling stockholder in a registered public offering, including a “synthetic secondary” offering, in accordance with applicable securities laws.</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The acquisition of Medline securities as a dividend or distribution without payment for receipt of such securities.</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 xml:space="preserve">The election to exchange, and the exchange of, Common Units of Medline Holdings, LP for shares of the Company’s Class A common stock pursuant to the terms of the Company’s Exchange Agreement with the holders of Common Units (as may be amended from time to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2"/>
        </w:rPr>
      </w:pPr>
      <w:r>
        <w:rPr>
          <w:rFonts w:ascii="Times New Roman;serif" w:hAnsi="Times New Roman;serif"/>
          <w:b w:val="false"/>
          <w:color w:val="000000"/>
          <w:sz w:val="22"/>
        </w:rPr>
        <w:t>time) and concurrent surrender of Class B common stock; however, the sale of any such Medline common stock acquired upon such exchange is subject to this Policy.</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 xml:space="preserve">Transferring securities to an entity that does not involve any change in the beneficial ownership of the securities (e.g., certain estate planning transfers). </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Any other purchase of Company securities from the Company or sales of Company securities to the Company in accordance with applicable securities and state laws.</w:t>
      </w:r>
    </w:p>
    <w:p>
      <w:pPr>
        <w:pStyle w:val="TextBody"/>
        <w:bidi w:val="0"/>
        <w:spacing w:lineRule="auto" w:line="240" w:before="0" w:after="200"/>
        <w:ind w:left="0" w:right="0" w:hanging="360"/>
        <w:jc w:val="both"/>
        <w:rPr/>
      </w:pPr>
      <w:r>
        <w:rPr>
          <w:rFonts w:ascii="sans-serif" w:hAnsi="sans-serif"/>
          <w:b/>
          <w:color w:val="002060"/>
          <w:sz w:val="24"/>
        </w:rPr>
        <w:t>9.</w:t>
      </w:r>
      <w:r>
        <w:rPr>
          <w:rFonts w:ascii="Times New Roman;serif" w:hAnsi="Times New Roman;serif"/>
          <w:b/>
          <w:color w:val="000000"/>
          <w:sz w:val="22"/>
        </w:rPr>
        <w:t>Rule 10b5-1 Trading Plans</w:t>
      </w:r>
    </w:p>
    <w:p>
      <w:pPr>
        <w:pStyle w:val="TextBody"/>
        <w:bidi w:val="0"/>
        <w:spacing w:lineRule="auto" w:line="288" w:before="0" w:after="200"/>
        <w:ind w:left="0" w:right="0" w:hanging="677"/>
        <w:jc w:val="both"/>
        <w:rPr/>
      </w:pPr>
      <w:r>
        <w:rPr>
          <w:rFonts w:ascii="sans-serif" w:hAnsi="sans-serif"/>
          <w:b w:val="false"/>
          <w:color w:val="0070C0"/>
          <w:sz w:val="22"/>
        </w:rPr>
        <w:t>9.1</w:t>
      </w:r>
      <w:r>
        <w:rPr>
          <w:rFonts w:ascii="Times New Roman;serif" w:hAnsi="Times New Roman;serif"/>
          <w:b w:val="false"/>
          <w:color w:val="000000"/>
          <w:sz w:val="22"/>
        </w:rPr>
        <w:t>Rule 10b5-1 under the Exchange Act provides an affirmative defense against allegations of insider trading if trades take place pursuant to a written plan that meets certain specified conditions (a “</w:t>
      </w:r>
      <w:r>
        <w:rPr>
          <w:rFonts w:ascii="Times New Roman;serif" w:hAnsi="Times New Roman;serif"/>
          <w:b/>
          <w:color w:val="000000"/>
          <w:sz w:val="22"/>
        </w:rPr>
        <w:t>Rule 10b5-1 Trading Plan</w:t>
      </w:r>
      <w:r>
        <w:rPr>
          <w:color w:val="000000"/>
        </w:rPr>
        <w:t>”</w:t>
      </w:r>
      <w:r>
        <w:rPr>
          <w:rFonts w:ascii="Times New Roman;serif" w:hAnsi="Times New Roman;serif"/>
          <w:b w:val="false"/>
          <w:color w:val="000000"/>
          <w:sz w:val="22"/>
        </w:rPr>
        <w:t xml:space="preserve">). The Company encourages Medline Board members and Section 16 officers and permits other Blackout Insiders, as well as all Related Persons, to enter into Rule 10b5-1 Trading Plans, provided the plan complies with the requirements set forth in Medline’s Rule 10b5-1 Trading Plan Guidelines in </w:t>
      </w:r>
      <w:r>
        <w:rPr>
          <w:rFonts w:ascii="Times New Roman;serif" w:hAnsi="Times New Roman;serif"/>
          <w:b w:val="false"/>
          <w:i/>
          <w:color w:val="000000"/>
          <w:sz w:val="22"/>
        </w:rPr>
        <w:t>Appendix A</w:t>
      </w:r>
      <w:r>
        <w:rPr>
          <w:rFonts w:ascii="Times New Roman;serif" w:hAnsi="Times New Roman;serif"/>
          <w:b w:val="false"/>
          <w:color w:val="000000"/>
          <w:sz w:val="22"/>
        </w:rPr>
        <w:t xml:space="preserve">. </w:t>
      </w:r>
    </w:p>
    <w:p>
      <w:pPr>
        <w:pStyle w:val="TextBody"/>
        <w:bidi w:val="0"/>
        <w:spacing w:lineRule="auto" w:line="240" w:before="0" w:after="200"/>
        <w:ind w:left="0" w:right="0" w:hanging="360"/>
        <w:jc w:val="both"/>
        <w:rPr/>
      </w:pPr>
      <w:r>
        <w:rPr>
          <w:rFonts w:ascii="sans-serif" w:hAnsi="sans-serif"/>
          <w:b/>
          <w:color w:val="002060"/>
          <w:sz w:val="24"/>
        </w:rPr>
        <w:t>10.</w:t>
      </w:r>
      <w:r>
        <w:rPr>
          <w:rFonts w:ascii="Times New Roman;serif" w:hAnsi="Times New Roman;serif"/>
          <w:b/>
          <w:color w:val="000000"/>
          <w:sz w:val="22"/>
        </w:rPr>
        <w:t>Company Transactions</w:t>
      </w:r>
    </w:p>
    <w:p>
      <w:pPr>
        <w:pStyle w:val="TextBody"/>
        <w:bidi w:val="0"/>
        <w:spacing w:lineRule="auto" w:line="288" w:before="0" w:after="200"/>
        <w:ind w:left="0" w:right="0" w:hanging="677"/>
        <w:jc w:val="both"/>
        <w:rPr/>
      </w:pPr>
      <w:r>
        <w:rPr>
          <w:rFonts w:ascii="sans-serif" w:hAnsi="sans-serif"/>
          <w:b w:val="false"/>
          <w:color w:val="0070C0"/>
          <w:sz w:val="22"/>
        </w:rPr>
        <w:t>10.1</w:t>
      </w:r>
      <w:r>
        <w:rPr>
          <w:rFonts w:ascii="Times New Roman;serif" w:hAnsi="Times New Roman;serif"/>
          <w:b w:val="false"/>
          <w:color w:val="000000"/>
          <w:sz w:val="22"/>
        </w:rPr>
        <w:t>From time to time, Medline may engage in transactions in its securities. It is Medline’s policy to comply with all applicable securities and state laws (including appropriate approvals by the Board or appropriate committee of the Board, if required) when engaging in transactions in Medline’s securities (subject to transactions under equity-based compensation plans being in accordance with terms of plans and award agreements).</w:t>
      </w:r>
    </w:p>
    <w:p>
      <w:pPr>
        <w:pStyle w:val="TextBody"/>
        <w:bidi w:val="0"/>
        <w:spacing w:lineRule="auto" w:line="240" w:before="0" w:after="200"/>
        <w:ind w:left="0" w:right="0" w:hanging="360"/>
        <w:jc w:val="both"/>
        <w:rPr/>
      </w:pPr>
      <w:r>
        <w:rPr>
          <w:rFonts w:ascii="sans-serif" w:hAnsi="sans-serif"/>
          <w:b/>
          <w:color w:val="002060"/>
          <w:sz w:val="24"/>
        </w:rPr>
        <w:t>11.</w:t>
      </w:r>
      <w:r>
        <w:rPr>
          <w:rFonts w:ascii="Times New Roman;serif" w:hAnsi="Times New Roman;serif"/>
          <w:b/>
          <w:color w:val="000000"/>
          <w:sz w:val="22"/>
        </w:rPr>
        <w:t>Exceptions</w:t>
      </w:r>
    </w:p>
    <w:p>
      <w:pPr>
        <w:pStyle w:val="TextBody"/>
        <w:bidi w:val="0"/>
        <w:spacing w:lineRule="auto" w:line="288" w:before="0" w:after="200"/>
        <w:ind w:left="0" w:right="0" w:hanging="677"/>
        <w:jc w:val="both"/>
        <w:rPr/>
      </w:pPr>
      <w:r>
        <w:rPr>
          <w:rFonts w:ascii="sans-serif" w:hAnsi="sans-serif"/>
          <w:b w:val="false"/>
          <w:color w:val="0070C0"/>
          <w:sz w:val="22"/>
        </w:rPr>
        <w:t>11.1</w:t>
      </w:r>
      <w:r>
        <w:rPr>
          <w:rFonts w:ascii="Times New Roman;serif" w:hAnsi="Times New Roman;serif"/>
          <w:b w:val="false"/>
          <w:color w:val="000000"/>
          <w:sz w:val="22"/>
        </w:rPr>
        <w:t xml:space="preserve">The Corporate Secretary (or their designee) may authorize limited exceptions to this Policy (other than to Board members and Section 16 Officers),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the exception would not contravene any applicable laws or the purpose of this Policy as determined by the Corporate Secretary (or their designee).</w:t>
      </w:r>
    </w:p>
    <w:p>
      <w:pPr>
        <w:pStyle w:val="TextBody"/>
        <w:bidi w:val="0"/>
        <w:spacing w:lineRule="auto" w:line="240" w:before="0" w:after="200"/>
        <w:ind w:left="0" w:right="0" w:hanging="360"/>
        <w:jc w:val="both"/>
        <w:rPr/>
      </w:pPr>
      <w:r>
        <w:rPr>
          <w:rFonts w:ascii="sans-serif" w:hAnsi="sans-serif"/>
          <w:b/>
          <w:color w:val="002060"/>
          <w:sz w:val="24"/>
        </w:rPr>
        <w:t>12.</w:t>
      </w:r>
      <w:r>
        <w:rPr>
          <w:rFonts w:ascii="Times New Roman;serif" w:hAnsi="Times New Roman;serif"/>
          <w:b/>
          <w:color w:val="000000"/>
          <w:sz w:val="22"/>
        </w:rPr>
        <w:t>Questions and Potential Violations</w:t>
      </w:r>
    </w:p>
    <w:p>
      <w:pPr>
        <w:pStyle w:val="TextBody"/>
        <w:bidi w:val="0"/>
        <w:spacing w:lineRule="auto" w:line="288" w:before="0" w:after="200"/>
        <w:ind w:left="0" w:right="0" w:hanging="677"/>
        <w:jc w:val="both"/>
        <w:rPr/>
      </w:pPr>
      <w:r>
        <w:rPr>
          <w:rFonts w:ascii="sans-serif" w:hAnsi="sans-serif"/>
          <w:b w:val="false"/>
          <w:color w:val="0070C0"/>
          <w:sz w:val="22"/>
        </w:rPr>
        <w:t>12.1</w:t>
      </w:r>
      <w:r>
        <w:rPr>
          <w:rFonts w:ascii="Times New Roman;serif" w:hAnsi="Times New Roman;serif"/>
          <w:b/>
          <w:color w:val="000000"/>
          <w:sz w:val="22"/>
        </w:rPr>
        <w:t>Questions</w:t>
      </w:r>
      <w:r>
        <w:rPr>
          <w:rFonts w:ascii="Times New Roman;serif" w:hAnsi="Times New Roman;serif"/>
          <w:b w:val="false"/>
          <w:color w:val="000000"/>
          <w:sz w:val="22"/>
        </w:rPr>
        <w:t xml:space="preserve">. Any questions regarding this Policy should be directed to the Corporate Secretary at </w:t>
      </w:r>
      <w:r>
        <w:rPr>
          <w:rFonts w:ascii="Times New Roman;serif" w:hAnsi="Times New Roman;serif"/>
          <w:b w:val="false"/>
          <w:color w:val="000000"/>
          <w:sz w:val="22"/>
          <w:u w:val="single"/>
        </w:rPr>
        <w:t>[***]</w:t>
      </w:r>
      <w:r>
        <w:rPr>
          <w:rFonts w:ascii="Times New Roman;serif" w:hAnsi="Times New Roman;serif"/>
          <w:b w:val="false"/>
          <w:color w:val="000000"/>
          <w:sz w:val="22"/>
        </w:rPr>
        <w:t>.</w:t>
      </w:r>
    </w:p>
    <w:p>
      <w:pPr>
        <w:pStyle w:val="TextBody"/>
        <w:bidi w:val="0"/>
        <w:spacing w:lineRule="auto" w:line="288" w:before="0" w:after="200"/>
        <w:ind w:left="0" w:right="0" w:hanging="677"/>
        <w:jc w:val="both"/>
        <w:rPr/>
      </w:pPr>
      <w:r>
        <w:rPr>
          <w:rFonts w:ascii="sans-serif" w:hAnsi="sans-serif"/>
          <w:b w:val="false"/>
          <w:color w:val="0070C0"/>
          <w:sz w:val="22"/>
        </w:rPr>
        <w:t>12.2</w:t>
      </w:r>
      <w:r>
        <w:rPr>
          <w:rFonts w:ascii="Times New Roman;serif" w:hAnsi="Times New Roman;serif"/>
          <w:b/>
          <w:color w:val="000000"/>
          <w:sz w:val="22"/>
        </w:rPr>
        <w:t>Speak Up</w:t>
      </w:r>
      <w:r>
        <w:rPr>
          <w:rFonts w:ascii="Times New Roman;serif" w:hAnsi="Times New Roman;serif"/>
          <w:b w:val="false"/>
          <w:color w:val="000000"/>
          <w:sz w:val="22"/>
        </w:rPr>
        <w:t>. If you become aware of any actual or potential violations of this Policy, or any other Medline policy, you must report it through one of the following channels:</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Medline Ethics &amp; Compliance Reporting Line: https://medline.ethicspoint.com.</w:t>
      </w:r>
    </w:p>
    <w:p>
      <w:pPr>
        <w:pStyle w:val="TextBody"/>
        <w:bidi w:val="0"/>
        <w:spacing w:lineRule="auto" w:line="240" w:before="0" w:after="200"/>
        <w:ind w:left="0" w:right="0" w:hanging="360"/>
        <w:jc w:val="both"/>
        <w:rPr/>
      </w:pPr>
      <w:r>
        <w:rPr>
          <w:color w:val="F98723"/>
        </w:rPr>
        <w:t>▪</w:t>
      </w:r>
      <w:r>
        <w:rPr>
          <w:rFonts w:ascii="Times New Roman;serif" w:hAnsi="Times New Roman;serif"/>
          <w:b w:val="false"/>
          <w:color w:val="000000"/>
          <w:sz w:val="22"/>
        </w:rPr>
        <w:t xml:space="preserve">Call the phone number listed in the Speak Up Phone Numbers section of the </w:t>
      </w:r>
      <w:r>
        <w:rPr>
          <w:rFonts w:ascii="Times New Roman;serif" w:hAnsi="Times New Roman;serif"/>
          <w:b w:val="false"/>
          <w:color w:val="000000"/>
          <w:sz w:val="22"/>
          <w:u w:val="single"/>
        </w:rPr>
        <w:t>Medline Code of Conduct &amp; Ethics.</w:t>
      </w:r>
    </w:p>
    <w:p>
      <w:pPr>
        <w:pStyle w:val="TextBody"/>
        <w:bidi w:val="0"/>
        <w:spacing w:lineRule="auto" w:line="240" w:before="0" w:after="200"/>
        <w:ind w:left="0" w:right="0" w:hanging="677"/>
        <w:jc w:val="both"/>
        <w:rPr/>
      </w:pPr>
      <w:r>
        <w:rPr>
          <w:rFonts w:ascii="sans-serif" w:hAnsi="sans-serif"/>
          <w:b w:val="false"/>
          <w:color w:val="0070C0"/>
          <w:sz w:val="22"/>
        </w:rPr>
        <w:t>12.3</w:t>
      </w:r>
      <w:r>
        <w:rPr>
          <w:color w:val="000000"/>
        </w:rPr>
        <w:t xml:space="preserve"> </w:t>
      </w:r>
      <w:r>
        <w:rPr>
          <w:rFonts w:ascii="Times New Roman;serif" w:hAnsi="Times New Roman;serif"/>
          <w:b/>
          <w:color w:val="000000"/>
          <w:sz w:val="22"/>
        </w:rPr>
        <w:t>No Retaliation.</w:t>
      </w:r>
      <w:r>
        <w:rPr>
          <w:color w:val="000000"/>
        </w:rPr>
        <w:t xml:space="preserve"> </w:t>
      </w:r>
      <w:r>
        <w:rPr>
          <w:rFonts w:ascii="Times New Roman;serif" w:hAnsi="Times New Roman;serif"/>
          <w:b w:val="false"/>
          <w:color w:val="000000"/>
          <w:sz w:val="22"/>
        </w:rPr>
        <w:t xml:space="preserve">Medline employees will be protected from retaliation for reporting concerns in good faith, as provided in the </w:t>
      </w:r>
      <w:r>
        <w:rPr>
          <w:rFonts w:ascii="Times New Roman;serif" w:hAnsi="Times New Roman;serif"/>
          <w:b w:val="false"/>
          <w:color w:val="000000"/>
          <w:sz w:val="22"/>
          <w:u w:val="single"/>
        </w:rPr>
        <w:t>Medline Code of Conduct &amp; Ethics</w:t>
      </w:r>
      <w:r>
        <w:rPr>
          <w:color w:val="000000"/>
        </w:rPr>
        <w:t xml:space="preserve"> </w:t>
      </w:r>
      <w:r>
        <w:rPr>
          <w:rFonts w:ascii="Times New Roman;serif" w:hAnsi="Times New Roman;serif"/>
          <w:b w:val="false"/>
          <w:color w:val="000000"/>
          <w:sz w:val="22"/>
        </w:rPr>
        <w:t>and its No Retaliation Policy. Medline does not tolerate any act of retaliation against employees who report potential or actual violations of this Policy, related Procedures or applicable law in good faith.</w:t>
      </w:r>
    </w:p>
    <w:p>
      <w:pPr>
        <w:pStyle w:val="TextBody"/>
        <w:bidi w:val="0"/>
        <w:spacing w:before="0" w:after="0"/>
        <w:ind w:left="0" w:right="0" w:firstLine="1260"/>
        <w:jc w:val="left"/>
        <w:rPr/>
      </w:pPr>
      <w:r>
        <w:rPr/>
      </w:r>
    </w:p>
    <w:p>
      <w:pPr>
        <w:pStyle w:val="TextBody"/>
        <w:bidi w:val="0"/>
        <w:spacing w:lineRule="auto" w:line="288" w:before="0" w:after="0"/>
        <w:ind w:left="0" w:right="0" w:firstLine="1260"/>
        <w:jc w:val="left"/>
        <w:rPr>
          <w:rFonts w:ascii="Times New Roman;serif" w:hAnsi="Times New Roman;serif"/>
          <w:b w:val="false"/>
          <w:color w:val="000000"/>
          <w:sz w:val="22"/>
        </w:rPr>
      </w:pPr>
      <w:r>
        <w:rPr>
          <w:rFonts w:ascii="Times New Roman;serif" w:hAnsi="Times New Roman;serif"/>
          <w:b w:val="false"/>
          <w:color w:val="000000"/>
          <w:sz w:val="22"/>
        </w:rPr>
        <w:t>Effective December 16,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Appendix A</w:t>
      </w:r>
    </w:p>
    <w:p>
      <w:pPr>
        <w:pStyle w:val="TextBody"/>
        <w:bidi w:val="0"/>
        <w:spacing w:lineRule="auto" w:line="288"/>
        <w:ind w:left="0" w:right="0" w:firstLine="360"/>
        <w:jc w:val="center"/>
        <w:rPr>
          <w:rFonts w:ascii="Times New Roman;serif" w:hAnsi="Times New Roman;serif"/>
          <w:b w:val="false"/>
          <w:i/>
          <w:color w:val="000000"/>
          <w:sz w:val="22"/>
        </w:rPr>
      </w:pPr>
      <w:r>
        <w:rPr>
          <w:rFonts w:ascii="Times New Roman;serif" w:hAnsi="Times New Roman;serif"/>
          <w:b w:val="false"/>
          <w:i/>
          <w:color w:val="000000"/>
          <w:sz w:val="22"/>
        </w:rPr>
        <w:t>[Contact the Corporate Secretary’s Office]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21.1</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LIST OF SUBSIDIARIES</w:t>
      </w:r>
    </w:p>
    <w:p>
      <w:pPr>
        <w:pStyle w:val="TextBody"/>
        <w:bidi w:val="0"/>
        <w:spacing w:lineRule="auto" w:line="321" w:before="0" w:after="160"/>
        <w:jc w:val="center"/>
        <w:rPr/>
      </w:pPr>
      <w:r>
        <w:rPr>
          <w:rFonts w:ascii="Times New Roman;serif" w:hAnsi="Times New Roman;serif"/>
          <w:b w:val="false"/>
          <w:i/>
          <w:color w:val="000000"/>
          <w:sz w:val="22"/>
        </w:rPr>
        <w:t>The following entities are subsidiaries of Medline Inc. as of the date of this Annual Report</w:t>
      </w:r>
      <w:r>
        <w:rPr>
          <w:color w:val="000000"/>
        </w:rPr>
        <w:t> </w:t>
      </w:r>
    </w:p>
    <w:tbl>
      <w:tblPr>
        <w:tblW w:w="9235" w:type="dxa"/>
        <w:jc w:val="left"/>
        <w:tblInd w:w="0" w:type="dxa"/>
        <w:tblLayout w:type="fixed"/>
        <w:tblCellMar>
          <w:top w:w="28" w:type="dxa"/>
          <w:left w:w="28" w:type="dxa"/>
          <w:bottom w:w="28" w:type="dxa"/>
          <w:right w:w="28" w:type="dxa"/>
        </w:tblCellMar>
      </w:tblPr>
      <w:tblGrid>
        <w:gridCol w:w="1539"/>
        <w:gridCol w:w="1354"/>
        <w:gridCol w:w="1366"/>
        <w:gridCol w:w="109"/>
        <w:gridCol w:w="109"/>
        <w:gridCol w:w="109"/>
        <w:gridCol w:w="1360"/>
        <w:gridCol w:w="1360"/>
        <w:gridCol w:w="1929"/>
      </w:tblGrid>
      <w:tr>
        <w:trPr/>
        <w:tc>
          <w:tcPr>
            <w:tcW w:w="153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649"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Jurisdiction of Organization or Incorporation</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Aplicare Products,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Centurion Medical Products, LP</w:t>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ESMA-Med-Uxbridge,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Massachusetts</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ESNY-Med-Montgomery,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New York</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Excelsior Medical,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Healthcare Recovery Services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MBSI,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Medical Sterilization Company (NLMX),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Medical Sterilization Company (US),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Medical Sterilization GP,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Medical Sterilization Holdings,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Asia Holdings Pte. Ltd.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Asia Trading</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Assembly Australia Pty Ltd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Assembly France SAS</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Assembly Slovakia s.r.o.</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Austria GmbH</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Bermuda Holdings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Borrower,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Canada, Corporation</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Chile SpA</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Co-Issuer, Inc.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Costa Rica Srl</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Costa Rica</w:t>
            </w:r>
          </w:p>
        </w:tc>
      </w:tr>
      <w:tr>
        <w:trPr/>
        <w:tc>
          <w:tcPr>
            <w:tcW w:w="425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DME GP,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46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bl>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21.1</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912" w:type="dxa"/>
        <w:jc w:val="left"/>
        <w:tblInd w:w="0" w:type="dxa"/>
        <w:tblLayout w:type="fixed"/>
        <w:tblCellMar>
          <w:top w:w="28" w:type="dxa"/>
          <w:left w:w="28" w:type="dxa"/>
          <w:bottom w:w="28" w:type="dxa"/>
          <w:right w:w="28" w:type="dxa"/>
        </w:tblCellMar>
      </w:tblPr>
      <w:tblGrid>
        <w:gridCol w:w="1598"/>
        <w:gridCol w:w="1403"/>
        <w:gridCol w:w="1409"/>
        <w:gridCol w:w="109"/>
        <w:gridCol w:w="109"/>
        <w:gridCol w:w="109"/>
        <w:gridCol w:w="636"/>
        <w:gridCol w:w="636"/>
        <w:gridCol w:w="903"/>
      </w:tblGrid>
      <w:tr>
        <w:trPr/>
        <w:tc>
          <w:tcPr>
            <w:tcW w:w="15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DME TN,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DME,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Healthcare Industries Private Limited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Holdings,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Hong Kong Limited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Industries Asia Pte. Ltd.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Industries Holdings,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Industries Inc. FZCO</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United Arab Emirates</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Industries India Private Limited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Medline Industries Limited </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Industries Malaysia SDN BHD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Industries Singapore Pte. Ltd.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Industries,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Industries, LP (Shanghai) Ltd.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Intermediate,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B.V.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Belgium B.V.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Capital B.V.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Colombia S.A.S.</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CZ s.r.o.</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Czech Republic</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France SAS</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Germany GmbH</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Holdco, Inc.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Iberia S.L.</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Italy S.r.l</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4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Netherlands BV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bl>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21.1</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72" w:type="dxa"/>
        <w:jc w:val="left"/>
        <w:tblInd w:w="0" w:type="dxa"/>
        <w:tblLayout w:type="fixed"/>
        <w:tblCellMar>
          <w:top w:w="28" w:type="dxa"/>
          <w:left w:w="28" w:type="dxa"/>
          <w:bottom w:w="28" w:type="dxa"/>
          <w:right w:w="28" w:type="dxa"/>
        </w:tblCellMar>
      </w:tblPr>
      <w:tblGrid>
        <w:gridCol w:w="1673"/>
        <w:gridCol w:w="1471"/>
        <w:gridCol w:w="1476"/>
        <w:gridCol w:w="109"/>
        <w:gridCol w:w="109"/>
        <w:gridCol w:w="109"/>
        <w:gridCol w:w="506"/>
        <w:gridCol w:w="506"/>
        <w:gridCol w:w="713"/>
      </w:tblGrid>
      <w:tr>
        <w:trPr/>
        <w:tc>
          <w:tcPr>
            <w:tcW w:w="167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New Zealand Limited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New Zealand</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Portugal, Unipessoal Lda.</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Switzerland Sarl</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Two Australia Pty Ltd.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Two,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Ireland Limited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Japan G.K.</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Korea,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South Korea</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Logistics Japan G.K.</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Malta Holdings Ltd.</w:t>
            </w:r>
          </w:p>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Management Aggregator,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Malta</w:t>
            </w:r>
          </w:p>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Mexico Holdings,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Mexico S de RL de CV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Mills Industries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Mills LLC</w:t>
            </w:r>
          </w:p>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One Mexico Holdings,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Operations France SAS</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Operations Germany GmbH</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Operations Italy S.r.l.</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Operations Ltd.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Panama Administration LLC S. de R.L.</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Panama</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Panama LLC S. de R.L.</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Panama</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Panama Sales LLC S. de R.L.</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Panama</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Pharmacy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Puerto Rico,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Puerto Rico</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Real Estate Germany GmbH &amp; Co. KG</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6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Regional Headquarters Company</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Saudi Arabia</w:t>
            </w:r>
          </w:p>
        </w:tc>
      </w:tr>
    </w:tbl>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21.1</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747" w:type="dxa"/>
        <w:jc w:val="left"/>
        <w:tblInd w:w="0" w:type="dxa"/>
        <w:tblLayout w:type="fixed"/>
        <w:tblCellMar>
          <w:top w:w="28" w:type="dxa"/>
          <w:left w:w="28" w:type="dxa"/>
          <w:bottom w:w="28" w:type="dxa"/>
          <w:right w:w="28" w:type="dxa"/>
        </w:tblCellMar>
      </w:tblPr>
      <w:tblGrid>
        <w:gridCol w:w="1569"/>
        <w:gridCol w:w="1381"/>
        <w:gridCol w:w="1385"/>
        <w:gridCol w:w="109"/>
        <w:gridCol w:w="109"/>
        <w:gridCol w:w="109"/>
        <w:gridCol w:w="607"/>
        <w:gridCol w:w="607"/>
        <w:gridCol w:w="871"/>
      </w:tblGrid>
      <w:tr>
        <w:trPr/>
        <w:tc>
          <w:tcPr>
            <w:tcW w:w="156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Services France SAS</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Services Switzerland Sarl</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Services UK Limited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SI, Trgovina D.O.O.</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Slovenia</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Slovakia s.r.o.</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Soluciones Medicas Holdings,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Soluciones Medicas, S de RL de CV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Sooner Acquisition,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South Africa (PTY) Ltd.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Stellar Australia Pty Ltd.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Stellar Germany GmbH</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Stellar Italy S.r.l.</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Stellar UK Limited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Supply Solutions Pty Ltd.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Sweden AB</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United Kingdom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Ventures,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Vietnam Trading Company Limited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Vietnam</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Medline International Capital B.V.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MedTrans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Mexicali Directo Holdings,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Mexicali Directo AL Cliente S de RL de CV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Microtek Dominicana Holdings,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Microtek Dominicana, S.A.S.</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Dominican Republic</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Microtek Medical B.V.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Microtek Medical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Microtek Medical Malta Limited</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Malta</w:t>
            </w:r>
          </w:p>
        </w:tc>
      </w:tr>
    </w:tbl>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21.1</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47" w:type="dxa"/>
        <w:jc w:val="left"/>
        <w:tblInd w:w="0" w:type="dxa"/>
        <w:tblLayout w:type="fixed"/>
        <w:tblCellMar>
          <w:top w:w="28" w:type="dxa"/>
          <w:left w:w="28" w:type="dxa"/>
          <w:bottom w:w="28" w:type="dxa"/>
          <w:right w:w="28" w:type="dxa"/>
        </w:tblCellMar>
      </w:tblPr>
      <w:tblGrid>
        <w:gridCol w:w="1810"/>
        <w:gridCol w:w="1587"/>
        <w:gridCol w:w="1597"/>
        <w:gridCol w:w="109"/>
        <w:gridCol w:w="109"/>
        <w:gridCol w:w="109"/>
        <w:gridCol w:w="329"/>
        <w:gridCol w:w="329"/>
        <w:gridCol w:w="468"/>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ML Products,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Oklahoma</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MMS,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Oklahoma</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Modular Medical Products N.T. Pty. Ltd.</w:t>
            </w:r>
          </w:p>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MOMH, LLC</w:t>
            </w:r>
          </w:p>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Mozart Coinvestors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Australia</w:t>
            </w:r>
          </w:p>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Mozart GP,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MRE Propco, LP</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MSMH NL,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Northpoint Medical Processing,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Nuevo Laredo Directo Al Cliente S. de R.L. de C.V.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PDM Holdings,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PluroGen Therapeutics,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PMM Holdings,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PrefConnect,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Texas</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Productos Medline Mexicali S de RL de CV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Productos Medline SA de CV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RCI Hudson de Mexico S de RL de CV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RCI Hudson Mexico Holdings,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Simcon International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Stellar Holdco,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Surgical Instrument Services and Savings,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Nevada</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Suture Express,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Kansas</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TCS Nuevo Laredo,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Thin Candied Shell,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Thin Candy Shell,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Michigan</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Tri-State de Mexico S de RL de CV</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Tri-State Mexico Holdings,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Illinois</w:t>
            </w:r>
          </w:p>
        </w:tc>
      </w:tr>
      <w:tr>
        <w:trPr/>
        <w:tc>
          <w:tcPr>
            <w:tcW w:w="499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United Medco, LLC</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Florida</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right"/>
        <w:rPr>
          <w:rFonts w:ascii="Times New Roman;serif" w:hAnsi="Times New Roman;serif"/>
          <w:b/>
          <w:color w:val="000000"/>
          <w:sz w:val="22"/>
        </w:rPr>
      </w:pPr>
      <w:r>
        <w:rPr>
          <w:rFonts w:ascii="Times New Roman;serif" w:hAnsi="Times New Roman;serif"/>
          <w:b/>
          <w:color w:val="000000"/>
          <w:sz w:val="22"/>
        </w:rPr>
        <w:t>Exhibit 23.1</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both"/>
        <w:rPr/>
      </w:pPr>
      <w:r>
        <w:rPr/>
      </w:r>
    </w:p>
    <w:p>
      <w:pPr>
        <w:pStyle w:val="TextBody"/>
        <w:bidi w:val="0"/>
        <w:spacing w:lineRule="auto" w:line="300" w:before="0" w:after="0"/>
        <w:jc w:val="center"/>
        <w:rPr>
          <w:rFonts w:ascii="Times New Roman;serif" w:hAnsi="Times New Roman;serif"/>
          <w:b/>
          <w:color w:val="000000"/>
          <w:sz w:val="18"/>
        </w:rPr>
      </w:pPr>
      <w:r>
        <w:rPr>
          <w:rFonts w:ascii="Times New Roman;serif" w:hAnsi="Times New Roman;serif"/>
          <w:b/>
          <w:color w:val="000000"/>
          <w:sz w:val="18"/>
        </w:rPr>
        <w:t xml:space="preserve">Consent of Independent Registered Public Accounting Firm </w:t>
      </w:r>
    </w:p>
    <w:p>
      <w:pPr>
        <w:pStyle w:val="TextBody"/>
        <w:bidi w:val="0"/>
        <w:spacing w:before="0" w:after="0"/>
        <w:jc w:val="center"/>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w:t>
      </w:r>
    </w:p>
    <w:p>
      <w:pPr>
        <w:pStyle w:val="TextBody"/>
        <w:bidi w:val="0"/>
        <w:spacing w:before="0" w:after="0"/>
        <w:jc w:val="both"/>
        <w:rPr/>
      </w:pPr>
      <w:r>
        <w:rPr/>
      </w:r>
    </w:p>
    <w:p>
      <w:pPr>
        <w:pStyle w:val="TextBody"/>
        <w:bidi w:val="0"/>
        <w:spacing w:lineRule="auto" w:line="30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1)Registration Statement (Form S-8 No. 333-292176) pertaining to the Medline Inc. 2025 Omnibus Incentive Plan and Medline Inc. 2025 Employee Stock Purchase Plan;</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of our reports dated February 25, 2026, with respect to the consolidated financial statements of Medline Inc. included in this Annual Report (Form 10-K) of Medline Inc. for the year ended December 31, 2025.</w:t>
      </w:r>
    </w:p>
    <w:p>
      <w:pPr>
        <w:pStyle w:val="TextBody"/>
        <w:bidi w:val="0"/>
        <w:spacing w:before="0" w:after="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Chicago, Illinois</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 THE SARBANES-OXLEY ACT OF 2002</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James M. Boyle, certify that: </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Annual Report on Form 10-K of Medline Inc.;</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b.[Reserved];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291" w:type="dxa"/>
        <w:jc w:val="left"/>
        <w:tblInd w:w="0" w:type="dxa"/>
        <w:tblLayout w:type="fixed"/>
        <w:tblCellMar>
          <w:top w:w="28" w:type="dxa"/>
          <w:left w:w="28" w:type="dxa"/>
          <w:bottom w:w="28" w:type="dxa"/>
          <w:right w:w="28" w:type="dxa"/>
        </w:tblCellMar>
      </w:tblPr>
      <w:tblGrid>
        <w:gridCol w:w="938"/>
        <w:gridCol w:w="826"/>
        <w:gridCol w:w="830"/>
        <w:gridCol w:w="109"/>
        <w:gridCol w:w="109"/>
        <w:gridCol w:w="109"/>
        <w:gridCol w:w="694"/>
        <w:gridCol w:w="694"/>
        <w:gridCol w:w="982"/>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James M. Boyle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James M. Boyle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 Michael B. Drazin, certify that: </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Annual Report on Form 10-K of Medline Inc.;</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b.[Reserved];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215" w:type="dxa"/>
        <w:jc w:val="left"/>
        <w:tblInd w:w="0" w:type="dxa"/>
        <w:tblLayout w:type="fixed"/>
        <w:tblCellMar>
          <w:top w:w="28" w:type="dxa"/>
          <w:left w:w="28" w:type="dxa"/>
          <w:bottom w:w="28" w:type="dxa"/>
          <w:right w:w="28" w:type="dxa"/>
        </w:tblCellMar>
      </w:tblPr>
      <w:tblGrid>
        <w:gridCol w:w="938"/>
        <w:gridCol w:w="826"/>
        <w:gridCol w:w="830"/>
        <w:gridCol w:w="109"/>
        <w:gridCol w:w="109"/>
        <w:gridCol w:w="109"/>
        <w:gridCol w:w="671"/>
        <w:gridCol w:w="671"/>
        <w:gridCol w:w="952"/>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Michael B. Drazin</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Michael B. Drazin</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James M. Boyle, Chief Executive Officer of Medline Inc. (the “Company”), certify, pursuant to 18 U.S.C. Section 1350,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Annual Report on Form 10-K for the fiscal year ended December 31, 2025 containing the financial statements of the Company (the “Annual Report”), which this statement accompanies, fully complies with the requirements of Section 13(a) or 15(d) of the Securities Exchange Act of 1934 (15 U.S.C. 78m or 78o(d)); and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Annual Report fairly presents, in all material respects, the financial condition and results of operations of the Company.</w:t>
      </w:r>
    </w:p>
    <w:p>
      <w:pPr>
        <w:pStyle w:val="TextBody"/>
        <w:bidi w:val="0"/>
        <w:spacing w:before="0" w:after="0"/>
        <w:jc w:val="center"/>
        <w:rPr/>
      </w:pPr>
      <w:r>
        <w:rPr/>
      </w:r>
    </w:p>
    <w:tbl>
      <w:tblPr>
        <w:tblW w:w="5291" w:type="dxa"/>
        <w:jc w:val="left"/>
        <w:tblInd w:w="0" w:type="dxa"/>
        <w:tblLayout w:type="fixed"/>
        <w:tblCellMar>
          <w:top w:w="28" w:type="dxa"/>
          <w:left w:w="28" w:type="dxa"/>
          <w:bottom w:w="28" w:type="dxa"/>
          <w:right w:w="28" w:type="dxa"/>
        </w:tblCellMar>
      </w:tblPr>
      <w:tblGrid>
        <w:gridCol w:w="938"/>
        <w:gridCol w:w="826"/>
        <w:gridCol w:w="830"/>
        <w:gridCol w:w="109"/>
        <w:gridCol w:w="109"/>
        <w:gridCol w:w="109"/>
        <w:gridCol w:w="694"/>
        <w:gridCol w:w="694"/>
        <w:gridCol w:w="982"/>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James M. Boyle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James M. Boyle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certification shall not, except to the extent required by the Sarbanes-Oxley Act of 2002, be deemed filed by the Company for purposes of Section 18 of the Securities Exchange Act of 1934, as amended, or otherwise subject to the liability of that section.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Michael B. Drazin, Chief Financial Officer of Medline Inc. (the “Company”), certify, pursuant to 18 U.S.C. Section 1350,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Annual Report on Form 10-K for the fiscal year ended December 31, 2025 containing the financial statements of the Company (the “Annual Report”), which this statement accompanies, fully complies with the requirements of Section 13(a) or 15(d) of the Securities Exchange Act of 1934 (15 U.S.C. 78m or 78o(d)); and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Annual Report fairly presents, in all material respects, the financial condition and results of operations of the Company.</w:t>
      </w:r>
    </w:p>
    <w:p>
      <w:pPr>
        <w:pStyle w:val="TextBody"/>
        <w:bidi w:val="0"/>
        <w:spacing w:before="0" w:after="0"/>
        <w:jc w:val="center"/>
        <w:rPr/>
      </w:pPr>
      <w:r>
        <w:rPr/>
      </w:r>
    </w:p>
    <w:tbl>
      <w:tblPr>
        <w:tblW w:w="5215" w:type="dxa"/>
        <w:jc w:val="left"/>
        <w:tblInd w:w="0" w:type="dxa"/>
        <w:tblLayout w:type="fixed"/>
        <w:tblCellMar>
          <w:top w:w="28" w:type="dxa"/>
          <w:left w:w="28" w:type="dxa"/>
          <w:bottom w:w="28" w:type="dxa"/>
          <w:right w:w="28" w:type="dxa"/>
        </w:tblCellMar>
      </w:tblPr>
      <w:tblGrid>
        <w:gridCol w:w="938"/>
        <w:gridCol w:w="826"/>
        <w:gridCol w:w="830"/>
        <w:gridCol w:w="109"/>
        <w:gridCol w:w="109"/>
        <w:gridCol w:w="109"/>
        <w:gridCol w:w="671"/>
        <w:gridCol w:w="671"/>
        <w:gridCol w:w="952"/>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Michael B. Drazin</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Michael B. Drazin</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certification shall not, except to the extent required by the Sarbanes-Oxley Act of 2002, be deemed filed by the Company for purposes of Section 18 of the Securities Exchange Act of 1934, as amended, or otherwise subject to the liability of that section.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97.1</w:t>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MEDLINE INC.</w:t>
      </w:r>
    </w:p>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CLAWBACK POLICY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1.Statement of Policy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75"/>
        <w:jc w:val="both"/>
        <w:rPr/>
      </w:pPr>
      <w:r>
        <w:rPr>
          <w:rFonts w:ascii="sans-serif" w:hAnsi="sans-serif"/>
          <w:b w:val="false"/>
          <w:color w:val="0070C0"/>
          <w:sz w:val="22"/>
        </w:rPr>
        <w:t>1.1.</w:t>
      </w:r>
      <w:r>
        <w:rPr>
          <w:rFonts w:ascii="Times New Roman;serif" w:hAnsi="Times New Roman;serif"/>
          <w:b w:val="false"/>
          <w:color w:val="000000"/>
          <w:sz w:val="22"/>
        </w:rPr>
        <w:t>Medline Inc. (along with its subsidiaries, collectively, “</w:t>
      </w:r>
      <w:r>
        <w:rPr>
          <w:rFonts w:ascii="Times New Roman;serif" w:hAnsi="Times New Roman;serif"/>
          <w:b/>
          <w:color w:val="000000"/>
          <w:sz w:val="22"/>
        </w:rPr>
        <w:t>Medline</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has adopted this Clawback Policy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to govern the recoupment of certain compensation, including incentive-based compensation as required to comply with Listing Rule 5608, adopted by Nasdaq to implement Rule 10D-1 under the Securities Exchange Act of 1934, as amended (collectively, “</w:t>
      </w:r>
      <w:r>
        <w:rPr>
          <w:rFonts w:ascii="Times New Roman;serif" w:hAnsi="Times New Roman;serif"/>
          <w:b/>
          <w:color w:val="000000"/>
          <w:sz w:val="22"/>
        </w:rPr>
        <w:t>Rule 10D-1</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1.2.</w:t>
      </w:r>
      <w:r>
        <w:rPr>
          <w:rFonts w:ascii="Times New Roman;serif" w:hAnsi="Times New Roman;serif"/>
          <w:b w:val="false"/>
          <w:color w:val="000000"/>
          <w:sz w:val="22"/>
        </w:rPr>
        <w:t xml:space="preserve">Medline will conduct all global business activities in full compliance with this Policy, and any associated or related procedures or processes.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2.Scope</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2.1.</w:t>
      </w:r>
      <w:r>
        <w:rPr>
          <w:rFonts w:ascii="Times New Roman;serif" w:hAnsi="Times New Roman;serif"/>
          <w:b w:val="false"/>
          <w:color w:val="000000"/>
          <w:sz w:val="22"/>
        </w:rPr>
        <w:t>This Policy applies to all Medline employees, officers, members of the Board of Directors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and third parties doing business with, on behalf of, or in the interest of Medline (including, but not limited to, contractors, consultants, and advisors, each a “</w:t>
      </w:r>
      <w:r>
        <w:rPr>
          <w:rFonts w:ascii="Times New Roman;serif" w:hAnsi="Times New Roman;serif"/>
          <w:b/>
          <w:color w:val="000000"/>
          <w:sz w:val="22"/>
        </w:rPr>
        <w:t>contractor</w:t>
      </w:r>
      <w:r>
        <w:rPr>
          <w:color w:val="000000"/>
        </w:rPr>
        <w:t>”</w:t>
      </w:r>
      <w:r>
        <w:rPr>
          <w:rFonts w:ascii="Times New Roman;serif" w:hAnsi="Times New Roman;serif"/>
          <w:b w:val="false"/>
          <w:color w:val="000000"/>
          <w:sz w:val="22"/>
        </w:rPr>
        <w:t>) who have received or are eligible to receive benefits under the Plans (as defined in this Section 1 below) or Incentive-Based Compensation (as defined in Section 5.4 below) (each, a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2.2.</w:t>
      </w:r>
      <w:r>
        <w:rPr>
          <w:rFonts w:ascii="Times New Roman;serif" w:hAnsi="Times New Roman;serif"/>
          <w:b w:val="false"/>
          <w:color w:val="000000"/>
          <w:sz w:val="22"/>
        </w:rPr>
        <w:t>The “</w:t>
      </w:r>
      <w:r>
        <w:rPr>
          <w:rFonts w:ascii="Times New Roman;serif" w:hAnsi="Times New Roman;serif"/>
          <w:b/>
          <w:color w:val="000000"/>
          <w:sz w:val="22"/>
        </w:rPr>
        <w:t>Plans</w:t>
      </w:r>
      <w:r>
        <w:rPr>
          <w:color w:val="000000"/>
        </w:rPr>
        <w:t xml:space="preserve">” </w:t>
      </w:r>
      <w:r>
        <w:rPr>
          <w:rFonts w:ascii="Times New Roman;serif" w:hAnsi="Times New Roman;serif"/>
          <w:b w:val="false"/>
          <w:color w:val="000000"/>
          <w:sz w:val="22"/>
        </w:rPr>
        <w:t>include the Company’s 2025 Omnibus Incentive Plan, Employee Stock Purchase Plan (“</w:t>
      </w:r>
      <w:r>
        <w:rPr>
          <w:rFonts w:ascii="Times New Roman;serif" w:hAnsi="Times New Roman;serif"/>
          <w:b/>
          <w:color w:val="000000"/>
          <w:sz w:val="22"/>
        </w:rPr>
        <w:t>ESPP</w:t>
      </w:r>
      <w:r>
        <w:rPr>
          <w:color w:val="000000"/>
        </w:rPr>
        <w:t>”</w:t>
      </w:r>
      <w:r>
        <w:rPr>
          <w:rFonts w:ascii="Times New Roman;serif" w:hAnsi="Times New Roman;serif"/>
          <w:b w:val="false"/>
          <w:color w:val="000000"/>
          <w:sz w:val="22"/>
        </w:rPr>
        <w:t>), and any amendments or successor plans or any other incentive or bonus plans established by the Company from time to time.</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2.3.</w:t>
      </w:r>
      <w:r>
        <w:rPr>
          <w:rFonts w:ascii="Times New Roman;serif" w:hAnsi="Times New Roman;serif"/>
          <w:b w:val="false"/>
          <w:color w:val="000000"/>
          <w:sz w:val="22"/>
        </w:rPr>
        <w:t>This Policy continues to apply even after you cease to be a Board member, employee, or contractor of Medline.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3.Administration of the Policy</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3.1.</w:t>
      </w:r>
      <w:r>
        <w:rPr>
          <w:rFonts w:ascii="Times New Roman;serif" w:hAnsi="Times New Roman;serif"/>
          <w:b w:val="false"/>
          <w:color w:val="000000"/>
          <w:sz w:val="22"/>
        </w:rPr>
        <w:t>This Policy is administered by the Compensation Committee of the Board (the “</w:t>
      </w:r>
      <w:r>
        <w:rPr>
          <w:rFonts w:ascii="Times New Roman;serif" w:hAnsi="Times New Roman;serif"/>
          <w:b/>
          <w:color w:val="000000"/>
          <w:sz w:val="22"/>
        </w:rPr>
        <w:t>Committee</w:t>
      </w:r>
      <w:r>
        <w:rPr>
          <w:color w:val="000000"/>
        </w:rPr>
        <w:t>”</w:t>
      </w:r>
      <w:r>
        <w:rPr>
          <w:rFonts w:ascii="Times New Roman;serif" w:hAnsi="Times New Roman;serif"/>
          <w:b w:val="false"/>
          <w:color w:val="000000"/>
          <w:sz w:val="22"/>
        </w:rPr>
        <w:t xml:space="preserve">) or, in the case of a Participant who is not a Covered Executive, such other committee as may be designated by the Board or, in the absence of such designation, the Board. </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3.2.</w:t>
      </w:r>
      <w:r>
        <w:rPr>
          <w:rFonts w:ascii="Times New Roman;serif" w:hAnsi="Times New Roman;serif"/>
          <w:b w:val="false"/>
          <w:color w:val="000000"/>
          <w:sz w:val="22"/>
        </w:rPr>
        <w:t>The Policy is intended to comply with, and as applicable to be administered and interpreted consistent with, and subject to the exceptions set forth in, Rule 10D-1.</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3.3.</w:t>
      </w:r>
      <w:r>
        <w:rPr>
          <w:rFonts w:ascii="Times New Roman;serif" w:hAnsi="Times New Roman;serif"/>
          <w:b w:val="false"/>
          <w:color w:val="000000"/>
          <w:sz w:val="22"/>
        </w:rPr>
        <w:t>Any determinations made by the Committee under this Policy are final and binding on all impacted individuals.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4.Policies for Everyone</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4.1.</w:t>
      </w:r>
      <w:r>
        <w:rPr>
          <w:rFonts w:ascii="Times New Roman;serif" w:hAnsi="Times New Roman;serif"/>
          <w:b w:val="false"/>
          <w:color w:val="000000"/>
          <w:sz w:val="22"/>
        </w:rPr>
        <w:t xml:space="preserve">The following apply to </w:t>
      </w:r>
      <w:r>
        <w:rPr>
          <w:rFonts w:ascii="Times New Roman;serif" w:hAnsi="Times New Roman;serif"/>
          <w:b w:val="false"/>
          <w:color w:val="000000"/>
          <w:sz w:val="22"/>
          <w:u w:val="single"/>
        </w:rPr>
        <w:t>everyone</w:t>
      </w:r>
      <w:r>
        <w:rPr>
          <w:color w:val="000000"/>
        </w:rPr>
        <w:t xml:space="preserve"> </w:t>
      </w:r>
      <w:r>
        <w:rPr>
          <w:rFonts w:ascii="Times New Roman;serif" w:hAnsi="Times New Roman;serif"/>
          <w:b w:val="false"/>
          <w:color w:val="000000"/>
          <w:sz w:val="22"/>
        </w:rPr>
        <w:t>covered under this Policy and is in addition to the recoupment provisions set forth in Section 5 below.</w:t>
      </w:r>
    </w:p>
    <w:p>
      <w:pPr>
        <w:pStyle w:val="TextBody"/>
        <w:bidi w:val="0"/>
        <w:spacing w:before="0" w:after="0"/>
        <w:jc w:val="both"/>
        <w:rPr/>
      </w:pPr>
      <w:r>
        <w:rPr/>
      </w:r>
    </w:p>
    <w:p>
      <w:pPr>
        <w:pStyle w:val="TextBody"/>
        <w:bidi w:val="0"/>
        <w:spacing w:lineRule="auto" w:line="288"/>
        <w:ind w:left="0" w:right="0" w:hanging="675"/>
        <w:jc w:val="both"/>
        <w:rPr/>
      </w:pPr>
      <w:r>
        <w:rPr>
          <w:rFonts w:ascii="sans-serif" w:hAnsi="sans-serif"/>
          <w:b w:val="false"/>
          <w:color w:val="0070C0"/>
          <w:sz w:val="22"/>
        </w:rPr>
        <w:t>4.2.</w:t>
      </w:r>
      <w:r>
        <w:rPr>
          <w:rFonts w:ascii="Times New Roman;serif" w:hAnsi="Times New Roman;serif"/>
          <w:b/>
          <w:color w:val="000000"/>
          <w:sz w:val="22"/>
          <w:u w:val="single"/>
        </w:rPr>
        <w:t>Recoupment Generally</w:t>
      </w:r>
      <w:r>
        <w:rPr>
          <w:rFonts w:ascii="Times New Roman;serif" w:hAnsi="Times New Roman;serif"/>
          <w:b w:val="false"/>
          <w:color w:val="000000"/>
          <w:sz w:val="22"/>
        </w:rPr>
        <w:t>. The Committee, or with respect to the ESPP, the Company’s SVP Total Rewards &amp; HRIS, Chief Human Resources Officer, Chief Executive Officer, or Chief Legal Officer (each, an “</w:t>
      </w:r>
      <w:r>
        <w:rPr>
          <w:rFonts w:ascii="Times New Roman;serif" w:hAnsi="Times New Roman;serif"/>
          <w:b/>
          <w:color w:val="000000"/>
          <w:sz w:val="22"/>
        </w:rPr>
        <w:t>Authorized Person</w:t>
      </w:r>
      <w:r>
        <w:rPr>
          <w:color w:val="000000"/>
        </w:rPr>
        <w:t>”</w:t>
      </w:r>
      <w:r>
        <w:rPr>
          <w:rFonts w:ascii="Times New Roman;serif" w:hAnsi="Times New Roman;serif"/>
          <w:b w:val="false"/>
          <w:color w:val="000000"/>
          <w:sz w:val="22"/>
        </w:rPr>
        <w:t xml:space="preserve">), in each such person’s sole discretion, may require that any compensation, proceeds, or other benefits paid, payable, received, or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7955"/>
                <wp:effectExtent l="0" t="0" r="0" b="0"/>
                <wp:wrapNone/>
                <wp:docPr id="253" name="Frame2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Page 1 of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Page 1 of 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receivable under the Plans, including, without limitation, cash, limited partnership or other units, performance stock units (PSUs), restricted stock, restricted stock units (RSUs), stock options, and any of which may be subject to time-based and/or performance-based vesting terms, including any realized gains, be canceled, suspended, rescinded, forfeited if not paid or received, or repaid or returned to the Company if already paid or received, if, in the sole discretion of the Committee or Authorized Person, a Participant, at any time while employed by or providing services to the Company or after termination of such employment or service:</w:t>
      </w:r>
    </w:p>
    <w:p>
      <w:pPr>
        <w:pStyle w:val="TextBody"/>
        <w:bidi w:val="0"/>
        <w:spacing w:before="0" w:after="0"/>
        <w:jc w:val="both"/>
        <w:rPr/>
      </w:pPr>
      <w:r>
        <w:rPr/>
      </w:r>
    </w:p>
    <w:p>
      <w:pPr>
        <w:pStyle w:val="TextBody"/>
        <w:bidi w:val="0"/>
        <w:spacing w:lineRule="auto" w:line="319" w:before="0" w:after="0"/>
        <w:ind w:left="0" w:right="0" w:hanging="360"/>
        <w:jc w:val="both"/>
        <w:rPr/>
      </w:pPr>
      <w:r>
        <w:rPr>
          <w:color w:val="ED7D31"/>
        </w:rPr>
        <w:t>•</w:t>
      </w:r>
      <w:r>
        <w:rPr>
          <w:rFonts w:ascii="Times New Roman;serif" w:hAnsi="Times New Roman;serif"/>
          <w:b w:val="false"/>
          <w:color w:val="000000"/>
          <w:sz w:val="22"/>
        </w:rPr>
        <w:t>breaches a non-competition, non-solicitation, or non-disclosure covenant or agreement between the Participant and the Company;</w:t>
      </w:r>
    </w:p>
    <w:p>
      <w:pPr>
        <w:pStyle w:val="TextBody"/>
        <w:bidi w:val="0"/>
        <w:spacing w:lineRule="auto" w:line="319" w:before="0" w:after="0"/>
        <w:ind w:left="0" w:right="0" w:hanging="360"/>
        <w:jc w:val="both"/>
        <w:rPr/>
      </w:pPr>
      <w:r>
        <w:rPr>
          <w:color w:val="ED7D31"/>
        </w:rPr>
        <w:t>•</w:t>
      </w:r>
      <w:r>
        <w:rPr>
          <w:rFonts w:ascii="Times New Roman;serif" w:hAnsi="Times New Roman;serif"/>
          <w:b w:val="false"/>
          <w:color w:val="000000"/>
          <w:sz w:val="22"/>
        </w:rPr>
        <w:t>breaches any employment agreement with the Company;</w:t>
      </w:r>
    </w:p>
    <w:p>
      <w:pPr>
        <w:pStyle w:val="TextBody"/>
        <w:bidi w:val="0"/>
        <w:spacing w:lineRule="auto" w:line="319" w:before="0" w:after="0"/>
        <w:ind w:left="0" w:right="0" w:hanging="360"/>
        <w:jc w:val="both"/>
        <w:rPr/>
      </w:pPr>
      <w:r>
        <w:rPr>
          <w:color w:val="ED7D31"/>
        </w:rPr>
        <w:t>•</w:t>
      </w:r>
      <w:r>
        <w:rPr>
          <w:rFonts w:ascii="Times New Roman;serif" w:hAnsi="Times New Roman;serif"/>
          <w:b w:val="false"/>
          <w:color w:val="000000"/>
          <w:sz w:val="22"/>
        </w:rPr>
        <w:t xml:space="preserve">engages in any conduct contributing to any financial restatements, inaccurate performance metrics, or reporting irregularities; </w:t>
      </w:r>
    </w:p>
    <w:p>
      <w:pPr>
        <w:pStyle w:val="TextBody"/>
        <w:bidi w:val="0"/>
        <w:spacing w:lineRule="auto" w:line="319" w:before="0" w:after="0"/>
        <w:ind w:left="0" w:right="0" w:hanging="360"/>
        <w:jc w:val="both"/>
        <w:rPr/>
      </w:pPr>
      <w:r>
        <w:rPr>
          <w:color w:val="ED7D31"/>
        </w:rPr>
        <w:t>•</w:t>
      </w:r>
      <w:r>
        <w:rPr>
          <w:rFonts w:ascii="Times New Roman;serif" w:hAnsi="Times New Roman;serif"/>
          <w:b w:val="false"/>
          <w:color w:val="000000"/>
          <w:sz w:val="22"/>
        </w:rPr>
        <w:t xml:space="preserve">violates any written policies of the Company applicable to the Participant; </w:t>
      </w:r>
    </w:p>
    <w:p>
      <w:pPr>
        <w:pStyle w:val="TextBody"/>
        <w:bidi w:val="0"/>
        <w:spacing w:lineRule="auto" w:line="319" w:before="0" w:after="0"/>
        <w:ind w:left="0" w:right="0" w:hanging="360"/>
        <w:jc w:val="both"/>
        <w:rPr/>
      </w:pPr>
      <w:r>
        <w:rPr>
          <w:color w:val="ED7D31"/>
        </w:rPr>
        <w:t>•</w:t>
      </w:r>
      <w:r>
        <w:rPr>
          <w:rFonts w:ascii="Times New Roman;serif" w:hAnsi="Times New Roman;serif"/>
          <w:b w:val="false"/>
          <w:color w:val="000000"/>
          <w:sz w:val="22"/>
        </w:rPr>
        <w:t xml:space="preserve">violates the terms and conditions of the Plans or any agreements under the Plans; </w:t>
      </w:r>
    </w:p>
    <w:p>
      <w:pPr>
        <w:pStyle w:val="TextBody"/>
        <w:bidi w:val="0"/>
        <w:spacing w:lineRule="auto" w:line="319" w:before="0" w:after="0"/>
        <w:ind w:left="0" w:right="0" w:hanging="360"/>
        <w:jc w:val="both"/>
        <w:rPr/>
      </w:pPr>
      <w:r>
        <w:rPr>
          <w:color w:val="ED7D31"/>
        </w:rPr>
        <w:t>•</w:t>
      </w:r>
      <w:r>
        <w:rPr>
          <w:rFonts w:ascii="Times New Roman;serif" w:hAnsi="Times New Roman;serif"/>
          <w:b w:val="false"/>
          <w:color w:val="000000"/>
          <w:sz w:val="22"/>
        </w:rPr>
        <w:t>engages in any fraud or misconduct; or</w:t>
      </w:r>
    </w:p>
    <w:p>
      <w:pPr>
        <w:pStyle w:val="TextBody"/>
        <w:bidi w:val="0"/>
        <w:spacing w:lineRule="auto" w:line="319" w:before="0" w:after="0"/>
        <w:ind w:left="0" w:right="0" w:hanging="360"/>
        <w:jc w:val="both"/>
        <w:rPr/>
      </w:pPr>
      <w:r>
        <w:rPr>
          <w:color w:val="ED7D31"/>
        </w:rPr>
        <w:t>•</w:t>
      </w:r>
      <w:r>
        <w:rPr>
          <w:rFonts w:ascii="Times New Roman;serif" w:hAnsi="Times New Roman;serif"/>
          <w:b w:val="false"/>
          <w:color w:val="000000"/>
          <w:sz w:val="22"/>
        </w:rPr>
        <w:t>otherwise engages in conduct or any activity in conflict with or adverse to the interests of the Company.</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4.3.</w:t>
      </w:r>
      <w:r>
        <w:rPr>
          <w:rFonts w:ascii="Times New Roman;serif" w:hAnsi="Times New Roman;serif"/>
          <w:b/>
          <w:color w:val="000000"/>
          <w:sz w:val="22"/>
          <w:u w:val="single"/>
        </w:rPr>
        <w:t>Recoupment of Excess Amounts</w:t>
      </w:r>
      <w:r>
        <w:rPr>
          <w:rFonts w:ascii="Times New Roman;serif" w:hAnsi="Times New Roman;serif"/>
          <w:b w:val="false"/>
          <w:color w:val="000000"/>
          <w:sz w:val="22"/>
        </w:rPr>
        <w:t>. In addition, if a Participant receives any amount in excess of what the Participant should have received under the Plans (including, without limitation, by reason of a mistake in calculations, financial restatement, or administrative error), as determined by the Committee or Authorized Person, then the Participant will be required to promptly repay any such excess amount to the Company.</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4.4.</w:t>
      </w:r>
      <w:r>
        <w:rPr>
          <w:rFonts w:ascii="Times New Roman;serif" w:hAnsi="Times New Roman;serif"/>
          <w:b/>
          <w:color w:val="000000"/>
          <w:sz w:val="22"/>
          <w:u w:val="single"/>
        </w:rPr>
        <w:t>Recoupment of Incentive Based Compensation</w:t>
      </w:r>
      <w:r>
        <w:rPr>
          <w:rFonts w:ascii="Times New Roman;serif" w:hAnsi="Times New Roman;serif"/>
          <w:b w:val="false"/>
          <w:color w:val="000000"/>
          <w:sz w:val="22"/>
        </w:rPr>
        <w:t>. An Authorized Person may, in their sole discretion, determine whether a Participant who is not a Covered Executive is also subject to the “Additional Policies for Covered Executives” set forth in Section 5 below.</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5.Additional Policies for Covered Executives</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5.1.</w:t>
      </w:r>
      <w:r>
        <w:rPr>
          <w:rFonts w:ascii="Times New Roman;serif" w:hAnsi="Times New Roman;serif"/>
          <w:b w:val="false"/>
          <w:color w:val="000000"/>
          <w:sz w:val="22"/>
        </w:rPr>
        <w:t xml:space="preserve">The following rules apply to Covered Executives and any additional Participants determined in accordance with Section 4.4 above. To the extent this Section 5 is applicable (based on the Participant, the recoupment event, or otherwise), in the event of any conflict with Section 4 above, this Section 5 will govern the terms of the recoupment and the minimum amount of the recoupment or repayment. </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5.2.</w:t>
      </w:r>
      <w:r>
        <w:rPr>
          <w:rFonts w:ascii="Times New Roman;serif" w:hAnsi="Times New Roman;serif"/>
          <w:b w:val="false"/>
          <w:color w:val="000000"/>
          <w:sz w:val="22"/>
        </w:rPr>
        <w:t>A “</w:t>
      </w:r>
      <w:r>
        <w:rPr>
          <w:rFonts w:ascii="Times New Roman;serif" w:hAnsi="Times New Roman;serif"/>
          <w:b/>
          <w:color w:val="000000"/>
          <w:sz w:val="22"/>
        </w:rPr>
        <w:t>Covered Executive</w:t>
      </w:r>
      <w:r>
        <w:rPr>
          <w:color w:val="000000"/>
        </w:rPr>
        <w:t xml:space="preserve">” </w:t>
      </w:r>
      <w:r>
        <w:rPr>
          <w:rFonts w:ascii="Times New Roman;serif" w:hAnsi="Times New Roman;serif"/>
          <w:b w:val="false"/>
          <w:color w:val="000000"/>
          <w:sz w:val="22"/>
        </w:rPr>
        <w:t>includes all current and former officers of the Company designated by the Board as Section 16 reporting officers and any other “executive officer” of the Company as may be defined under Rule 10D-1. </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5.3.</w:t>
      </w:r>
      <w:r>
        <w:rPr>
          <w:rFonts w:ascii="Times New Roman;serif" w:hAnsi="Times New Roman;serif"/>
          <w:b/>
          <w:color w:val="000000"/>
          <w:sz w:val="22"/>
          <w:u w:val="single"/>
        </w:rPr>
        <w:t>Other Definitions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19"/>
        <w:ind w:left="0" w:right="0" w:hanging="360"/>
        <w:jc w:val="both"/>
        <w:rPr/>
      </w:pPr>
      <w:r>
        <w:rPr>
          <w:color w:val="ED7D31"/>
        </w:rPr>
        <w:t>•</w:t>
      </w:r>
      <w:r>
        <w:rPr>
          <w:color w:val="000000"/>
        </w:rPr>
        <w:t>“</w:t>
      </w:r>
      <w:r>
        <w:rPr>
          <w:rFonts w:ascii="Times New Roman;serif" w:hAnsi="Times New Roman;serif"/>
          <w:b/>
          <w:color w:val="000000"/>
          <w:sz w:val="22"/>
        </w:rPr>
        <w:t>Incentive-Based Compensation</w:t>
      </w:r>
      <w:r>
        <w:rPr>
          <w:color w:val="000000"/>
        </w:rPr>
        <w:t xml:space="preserve">” </w:t>
      </w:r>
      <w:r>
        <w:rPr>
          <w:rFonts w:ascii="Times New Roman;serif" w:hAnsi="Times New Roman;serif"/>
          <w:b w:val="false"/>
          <w:color w:val="000000"/>
          <w:sz w:val="22"/>
        </w:rPr>
        <w:t xml:space="preserve">is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7955"/>
                <wp:effectExtent l="0" t="0" r="0" b="0"/>
                <wp:wrapNone/>
                <wp:docPr id="254" name="Frame2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Page 2 of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Page 2 of 4</w:t>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and presented in accordance with the accounting principles used in preparing the Company’s financial statements, including any measure derived wholly or in part from such a measure, and (ii) any measure based in whole or in part on the Company’s stock price or total shareholder return.</w:t>
      </w:r>
    </w:p>
    <w:p>
      <w:pPr>
        <w:pStyle w:val="TextBody"/>
        <w:bidi w:val="0"/>
        <w:spacing w:lineRule="auto" w:line="319" w:before="0" w:after="0"/>
        <w:ind w:left="0" w:right="0" w:hanging="360"/>
        <w:jc w:val="both"/>
        <w:rPr/>
      </w:pPr>
      <w:r>
        <w:rPr>
          <w:color w:val="ED7D31"/>
        </w:rPr>
        <w:t>•</w:t>
      </w:r>
      <w:r>
        <w:rPr>
          <w:rFonts w:ascii="Times New Roman;serif" w:hAnsi="Times New Roman;serif"/>
          <w:b w:val="false"/>
          <w:color w:val="000000"/>
          <w:sz w:val="22"/>
        </w:rPr>
        <w:t>Incentive-Based Compensation is deemed to be “</w:t>
      </w:r>
      <w:r>
        <w:rPr>
          <w:rFonts w:ascii="Times New Roman;serif" w:hAnsi="Times New Roman;serif"/>
          <w:b/>
          <w:color w:val="000000"/>
          <w:sz w:val="22"/>
        </w:rPr>
        <w:t>Received</w:t>
      </w:r>
      <w:r>
        <w:rPr>
          <w:color w:val="000000"/>
        </w:rPr>
        <w:t xml:space="preserve">” </w:t>
      </w:r>
      <w:r>
        <w:rPr>
          <w:rFonts w:ascii="Times New Roman;serif" w:hAnsi="Times New Roman;serif"/>
          <w:b w:val="false"/>
          <w:color w:val="000000"/>
          <w:sz w:val="22"/>
        </w:rPr>
        <w:t>in the fiscal period during which the relevant financial reporting measure is attained, regardless of when the compensation is actually paid or awarded.</w:t>
      </w:r>
    </w:p>
    <w:p>
      <w:pPr>
        <w:pStyle w:val="TextBody"/>
        <w:bidi w:val="0"/>
        <w:spacing w:lineRule="auto" w:line="319" w:before="0" w:after="0"/>
        <w:ind w:left="0" w:right="0" w:hanging="360"/>
        <w:jc w:val="both"/>
        <w:rPr/>
      </w:pPr>
      <w:r>
        <w:rPr>
          <w:color w:val="ED7D31"/>
        </w:rPr>
        <w:t>•</w:t>
      </w:r>
      <w:r>
        <w:rPr>
          <w:color w:val="000000"/>
        </w:rPr>
        <w:t>“</w:t>
      </w:r>
      <w:r>
        <w:rPr>
          <w:rFonts w:ascii="Times New Roman;serif" w:hAnsi="Times New Roman;serif"/>
          <w:b/>
          <w:color w:val="000000"/>
          <w:sz w:val="22"/>
        </w:rPr>
        <w:t>Recovery Period</w:t>
      </w:r>
      <w:r>
        <w:rPr>
          <w:color w:val="000000"/>
        </w:rPr>
        <w:t xml:space="preserve">” </w:t>
      </w:r>
      <w:r>
        <w:rPr>
          <w:rFonts w:ascii="Times New Roman;serif" w:hAnsi="Times New Roman;serif"/>
          <w:b w:val="false"/>
          <w:color w:val="000000"/>
          <w:sz w:val="22"/>
        </w:rPr>
        <w:t>means the three (3) completed fiscal years immediately preceding the date that the Company is required to prepare the accounting restatement described in Section 5.4 below, titled “Recoupment of Incentive-Based Compensation,” as determined pursuant to Rule 10D-1, and any transition period of less than nine (9) months that is within or immediately following such three (3) fiscal years.</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5.4.</w:t>
      </w:r>
      <w:r>
        <w:rPr>
          <w:rFonts w:ascii="Times New Roman;serif" w:hAnsi="Times New Roman;serif"/>
          <w:b/>
          <w:color w:val="000000"/>
          <w:sz w:val="22"/>
          <w:u w:val="single"/>
        </w:rPr>
        <w:t>Recoupment of Incentive-Based Compensation</w:t>
      </w:r>
      <w:r>
        <w:rPr>
          <w:rFonts w:ascii="Times New Roman;serif" w:hAnsi="Times New Roman;serif"/>
          <w:b w:val="false"/>
          <w:color w:val="000000"/>
          <w:sz w:val="22"/>
        </w:rPr>
        <w:t>. In the event the Company is required to prepare an accounting restatement of the Company’s financial statements due to the Company’s material noncompliance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(other than corrections resulting from changes to accounting standards)),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will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on a pre-tax basis. The Company will maintain and provide to Nasdaq documentation of all determinations and actions taken in compliance with this Section 5.4.</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6.General Matters</w:t>
      </w:r>
    </w:p>
    <w:p>
      <w:pPr>
        <w:pStyle w:val="TextBody"/>
        <w:bidi w:val="0"/>
        <w:spacing w:before="0" w:after="0"/>
        <w:jc w:val="both"/>
        <w:rPr/>
      </w:pPr>
      <w:r>
        <w:rPr/>
      </w:r>
    </w:p>
    <w:p>
      <w:pPr>
        <w:pStyle w:val="TextBody"/>
        <w:bidi w:val="0"/>
        <w:spacing w:lineRule="auto" w:line="288"/>
        <w:ind w:left="0" w:right="0" w:hanging="677"/>
        <w:jc w:val="both"/>
        <w:rPr/>
      </w:pPr>
      <w:r>
        <w:rPr>
          <w:rFonts w:ascii="sans-serif" w:hAnsi="sans-serif"/>
          <w:b w:val="false"/>
          <w:color w:val="0070C0"/>
          <w:sz w:val="22"/>
        </w:rPr>
        <w:t>6.1.</w:t>
      </w:r>
      <w:r>
        <w:rPr>
          <w:rFonts w:ascii="Times New Roman;serif" w:hAnsi="Times New Roman;serif"/>
          <w:b/>
          <w:color w:val="000000"/>
          <w:sz w:val="22"/>
          <w:u w:val="single"/>
        </w:rPr>
        <w:t>No Indemnification</w:t>
      </w:r>
      <w:r>
        <w:rPr>
          <w:rFonts w:ascii="Times New Roman;serif" w:hAnsi="Times New Roman;serif"/>
          <w:b w:val="false"/>
          <w:color w:val="000000"/>
          <w:sz w:val="22"/>
        </w:rPr>
        <w:t xml:space="preserve">. The Company will not indemnify any Participant, including any Covered Executive, against any liability or loss (including, without limitation, the loss of any Incentive-Based Compensation and/or other compensation pursuant to this Policy, any payment or reimbursement for the cost of third-party insurance purchased by any Participant to fund potential recovery obligations under this Policy, or any judgments, fines, taxes, penalties or amounts paid in settlement by or on behalf of any Participant) incurred by such Participant in connection with this Policy or as a result of any action taken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7955"/>
                <wp:effectExtent l="0" t="0" r="0" b="0"/>
                <wp:wrapNone/>
                <wp:docPr id="255" name="Frame2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Page 3 of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Page 3 of 4</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Company to enforce this Policy (a “</w:t>
      </w:r>
      <w:r>
        <w:rPr>
          <w:rFonts w:ascii="Times New Roman;serif" w:hAnsi="Times New Roman;serif"/>
          <w:b/>
          <w:color w:val="000000"/>
          <w:sz w:val="22"/>
        </w:rPr>
        <w:t>Clawback Proceeding</w:t>
      </w:r>
      <w:r>
        <w:rPr>
          <w:color w:val="000000"/>
        </w:rPr>
        <w:t>”</w:t>
      </w:r>
      <w:r>
        <w:rPr>
          <w:rFonts w:ascii="Times New Roman;serif" w:hAnsi="Times New Roman;serif"/>
          <w:b w:val="false"/>
          <w:color w:val="000000"/>
          <w:sz w:val="22"/>
        </w:rPr>
        <w:t>), or provide any indemnification or advancement of expenses (including attorneys’ fees) incurred by such Participant in connection with any such Clawback Proceeding.</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6.2.</w:t>
      </w:r>
      <w:r>
        <w:rPr>
          <w:rFonts w:ascii="Times New Roman;serif" w:hAnsi="Times New Roman;serif"/>
          <w:b/>
          <w:color w:val="000000"/>
          <w:sz w:val="22"/>
          <w:u w:val="single"/>
        </w:rPr>
        <w:t>No Prohibition on Disclosures in Compliance with Law</w:t>
      </w:r>
      <w:r>
        <w:rPr>
          <w:rFonts w:ascii="Times New Roman;serif" w:hAnsi="Times New Roman;serif"/>
          <w:b w:val="false"/>
          <w:color w:val="000000"/>
          <w:sz w:val="22"/>
        </w:rPr>
        <w:t>. Nothing in this Policy prohibits a Participant from making disclosures to or initiating or participating in communications with the United States Securities and Exchange Commission or any other federal, state, or local governmental agency, commission, or official or in compliance with any laws, rules, or regulations.</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6.3.</w:t>
      </w:r>
      <w:r>
        <w:rPr>
          <w:rFonts w:ascii="Times New Roman;serif" w:hAnsi="Times New Roman;serif"/>
          <w:b/>
          <w:color w:val="000000"/>
          <w:sz w:val="22"/>
          <w:u w:val="single"/>
        </w:rPr>
        <w:t>No Limitation on Company Rights and Authorities</w:t>
      </w:r>
      <w:r>
        <w:rPr>
          <w:rFonts w:ascii="Times New Roman;serif" w:hAnsi="Times New Roman;serif"/>
          <w:b w:val="false"/>
          <w:color w:val="000000"/>
          <w:sz w:val="22"/>
        </w:rPr>
        <w:t>. The provisions of this Policy are in addition to the Company’s authorities under the Plans, and any right of recoupment or recovery pursuant to this Policy is in addition to, and not in lieu of, any other remedies or rights of recoupment that may be available to the Company pursuant to the terms of any other policy, employment or third party services agreement, or plan or award terms, and any other legal remedies available to the Company; provided that the Company will not recoup amounts pursuant to such other policy, agreement, terms, or remedies to the extent it is recovered pursuant to this Policy. This Policy does not limit or otherwise affect the Company’s ability to pursue any and all available legal rights and remedies under applicable law.</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6.4.</w:t>
      </w:r>
      <w:r>
        <w:rPr>
          <w:rFonts w:ascii="Times New Roman;serif" w:hAnsi="Times New Roman;serif"/>
          <w:b/>
          <w:color w:val="000000"/>
          <w:sz w:val="22"/>
          <w:u w:val="single"/>
        </w:rPr>
        <w:t>Means of Recovery, Excess Recoveries, and Exceptions</w:t>
      </w:r>
      <w:r>
        <w:rPr>
          <w:rFonts w:ascii="Times New Roman;serif" w:hAnsi="Times New Roman;serif"/>
          <w:b w:val="false"/>
          <w:color w:val="000000"/>
          <w:sz w:val="22"/>
        </w:rPr>
        <w:t>. The Company may effect any recovery pursuant to this Policy by requiring payment of such amount(s) to the Company, by set-off, by reducing future compensation, or by such other means or combination of means as the Committee determines to be appropriate. These provisions will be interpreted and implemented to avoid duplication of recoupment or recovery of compensation, and the Company may not recoup or recover the same compensation under both Section 4 and Section 5 of this Policy. The Company need not recover the excess amount of Incentive-Based Compensation if and to the extent that the Committee determines that such recovery is impracticable, subject to and in accordance with any applicable exceptions under Nasdaq listing rules and not required under Rule 10D-1, including if the Committee determines that the direct expense paid to a third party to assist in enforcing this Policy would exceed the amount to be recovered after making a reasonable attempt to recover such amounts. Any right of recoupment or recovery under this Policy shall apply irrespective of whether the Participant is an employee of the Company at such time. The Company need not recover any compensation if and to the extent that the Committee or Authorized Person, as applicable, determines that such recovery would impact the qualified status of a tax-qualified retirement plan. No recovery of compensation under this Policy will be an event giving rise to a right to resign for “good reason” or be deemed a “constructive termination” (or any similar term) as such terms are used in any agreement between any Participant and the Company. The Company is authorized to take appropriate steps to implement this Policy with respect to Incentive-Based Compensation arrangements with, and compensation provided under the Plans to, Participants.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7.Questions Regarding this Policy</w:t>
      </w:r>
    </w:p>
    <w:p>
      <w:pPr>
        <w:pStyle w:val="TextBody"/>
        <w:bidi w:val="0"/>
        <w:spacing w:before="0" w:after="0"/>
        <w:jc w:val="both"/>
        <w:rPr/>
      </w:pPr>
      <w:r>
        <w:rPr/>
      </w:r>
    </w:p>
    <w:p>
      <w:pPr>
        <w:pStyle w:val="TextBody"/>
        <w:bidi w:val="0"/>
        <w:spacing w:lineRule="auto" w:line="288" w:before="0" w:after="0"/>
        <w:ind w:left="0" w:right="0" w:hanging="675"/>
        <w:jc w:val="both"/>
        <w:rPr/>
      </w:pPr>
      <w:r>
        <w:rPr>
          <w:rFonts w:ascii="sans-serif" w:hAnsi="sans-serif"/>
          <w:b w:val="false"/>
          <w:color w:val="0070C0"/>
          <w:sz w:val="22"/>
        </w:rPr>
        <w:t>7.1.</w:t>
      </w:r>
      <w:r>
        <w:rPr>
          <w:rFonts w:ascii="Times New Roman;serif" w:hAnsi="Times New Roman;serif"/>
          <w:b w:val="false"/>
          <w:color w:val="000000"/>
          <w:sz w:val="22"/>
        </w:rPr>
        <w:t>Anyone with questions concerning this Policy or its application should contact the Chief Human Resources Officer or their designee.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7955"/>
                <wp:effectExtent l="0" t="0" r="0" b="0"/>
                <wp:wrapNone/>
                <wp:docPr id="256" name="Frame2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Page 4 of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Page 4 of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Garamond">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46386/000119312525264798/d55108dex31.htm" TargetMode="External"/><Relationship Id="rId4" Type="http://schemas.openxmlformats.org/officeDocument/2006/relationships/hyperlink" Target="https://www.sec.gov/Archives/edgar/data/2046386/000119312525264798/d55108dex31.htm" TargetMode="External"/><Relationship Id="rId5" Type="http://schemas.openxmlformats.org/officeDocument/2006/relationships/hyperlink" Target="https://www.sec.gov/Archives/edgar/data/2046386/000119312525264798/d55108dex32.htm" TargetMode="External"/><Relationship Id="rId6" Type="http://schemas.openxmlformats.org/officeDocument/2006/relationships/hyperlink" Target="https://www.sec.gov/Archives/edgar/data/2046386/000119312525264798/d55108dex32.htm" TargetMode="External"/><Relationship Id="rId7" Type="http://schemas.openxmlformats.org/officeDocument/2006/relationships/hyperlink" Target="https://www.sec.gov/Archives/edgar/data/2046386/000119312525264798/d55108dex32.htm" TargetMode="External"/><Relationship Id="rId8" Type="http://schemas.openxmlformats.org/officeDocument/2006/relationships/hyperlink" Target="https://www.sec.gov/Archives/edgar/data/2046386/000119312525253020/d932091dex41.htm" TargetMode="External"/><Relationship Id="rId9" Type="http://schemas.openxmlformats.org/officeDocument/2006/relationships/hyperlink" Target="https://www.sec.gov/Archives/edgar/data/2046386/000119312525253020/d932091dex41.htm" TargetMode="External"/><Relationship Id="rId10" Type="http://schemas.openxmlformats.org/officeDocument/2006/relationships/hyperlink" Target="https://www.sec.gov/Archives/edgar/data/2046386/000119312525253020/d932091dex42.htm" TargetMode="External"/><Relationship Id="rId11" Type="http://schemas.openxmlformats.org/officeDocument/2006/relationships/hyperlink" Target="https://www.sec.gov/Archives/edgar/data/2046386/000119312525253020/d932091dex42.htm" TargetMode="External"/><Relationship Id="rId12" Type="http://schemas.openxmlformats.org/officeDocument/2006/relationships/hyperlink" Target="https://www.sec.gov/Archives/edgar/data/2046386/000119312525253020/d932091dex43.htm" TargetMode="External"/><Relationship Id="rId13" Type="http://schemas.openxmlformats.org/officeDocument/2006/relationships/hyperlink" Target="https://www.sec.gov/Archives/edgar/data/2046386/000119312525253020/d932091dex43.htm" TargetMode="External"/><Relationship Id="rId14" Type="http://schemas.openxmlformats.org/officeDocument/2006/relationships/hyperlink" Target="https://www.sec.gov/Archives/edgar/data/2046386/000119312525253020/d932091dex44.htm" TargetMode="External"/><Relationship Id="rId15" Type="http://schemas.openxmlformats.org/officeDocument/2006/relationships/hyperlink" Target="https://www.sec.gov/Archives/edgar/data/2046386/000119312525253020/d932091dex44.htm" TargetMode="External"/><Relationship Id="rId16" Type="http://schemas.openxmlformats.org/officeDocument/2006/relationships/hyperlink" Target="https://www.sec.gov/Archives/edgar/data/2046386/000119312525253020/d932091dex45.htm" TargetMode="External"/><Relationship Id="rId17" Type="http://schemas.openxmlformats.org/officeDocument/2006/relationships/hyperlink" Target="https://www.sec.gov/Archives/edgar/data/2046386/000119312525253020/d932091dex45.htm" TargetMode="External"/><Relationship Id="rId18" Type="http://schemas.openxmlformats.org/officeDocument/2006/relationships/hyperlink" Target="https://www.sec.gov/Archives/edgar/data/2046386/000119312525253020/d932091dex46.htm" TargetMode="External"/><Relationship Id="rId19" Type="http://schemas.openxmlformats.org/officeDocument/2006/relationships/hyperlink" Target="https://www.sec.gov/Archives/edgar/data/2046386/000119312525253020/d932091dex46.htm" TargetMode="External"/><Relationship Id="rId20" Type="http://schemas.openxmlformats.org/officeDocument/2006/relationships/hyperlink" Target="https://www.sec.gov/Archives/edgar/data/2046386/000119312525253020/d932091dex47.htm" TargetMode="External"/><Relationship Id="rId21" Type="http://schemas.openxmlformats.org/officeDocument/2006/relationships/hyperlink" Target="https://www.sec.gov/Archives/edgar/data/2046386/000119312525253020/d932091dex48.htm" TargetMode="External"/><Relationship Id="rId22" Type="http://schemas.openxmlformats.org/officeDocument/2006/relationships/hyperlink" Target="https://www.sec.gov/Archives/edgar/data/2046386/000119312525253020/d932091dex48.htm" TargetMode="External"/><Relationship Id="rId23" Type="http://schemas.openxmlformats.org/officeDocument/2006/relationships/hyperlink" Target="https://www.sec.gov/Archives/edgar/data/2046386/000119312525253020/d932091dex49.htm" TargetMode="External"/><Relationship Id="rId24" Type="http://schemas.openxmlformats.org/officeDocument/2006/relationships/hyperlink" Target="https://www.sec.gov/Archives/edgar/data/2046386/000119312525253020/d932091dex49.htm" TargetMode="External"/><Relationship Id="rId25" Type="http://schemas.openxmlformats.org/officeDocument/2006/relationships/hyperlink" Target="https://www.sec.gov/Archives/edgar/data/2046386/000119312525253020/d932091dex410.htm" TargetMode="External"/><Relationship Id="rId26" Type="http://schemas.openxmlformats.org/officeDocument/2006/relationships/hyperlink" Target="https://www.sec.gov/Archives/edgar/data/2046386/000119312525253020/d932091dex410.htm" TargetMode="External"/><Relationship Id="rId27" Type="http://schemas.openxmlformats.org/officeDocument/2006/relationships/hyperlink" Target="https://www.sec.gov/Archives/edgar/data/2046386/000119312525253020/d932091dex411.htm" TargetMode="External"/><Relationship Id="rId28" Type="http://schemas.openxmlformats.org/officeDocument/2006/relationships/hyperlink" Target="https://www.sec.gov/Archives/edgar/data/2046386/000119312525253020/d932091dex412.htm" TargetMode="External"/><Relationship Id="rId29" Type="http://schemas.openxmlformats.org/officeDocument/2006/relationships/hyperlink" Target="https://www.sec.gov/Archives/edgar/data/2046386/000119312525328884/d933672dex101.htm" TargetMode="External"/><Relationship Id="rId30" Type="http://schemas.openxmlformats.org/officeDocument/2006/relationships/hyperlink" Target="https://www.sec.gov/Archives/edgar/data/2046386/000119312525328884/d933672dex101.htm" TargetMode="External"/><Relationship Id="rId31" Type="http://schemas.openxmlformats.org/officeDocument/2006/relationships/hyperlink" Target="https://www.sec.gov/Archives/edgar/data/2046386/000119312525328884/d933672dex101.htm" TargetMode="External"/><Relationship Id="rId32" Type="http://schemas.openxmlformats.org/officeDocument/2006/relationships/hyperlink" Target="https://www.sec.gov/Archives/edgar/data/2046386/000119312525328884/d933672dex101.htm" TargetMode="External"/><Relationship Id="rId33" Type="http://schemas.openxmlformats.org/officeDocument/2006/relationships/hyperlink" Target="https://www.sec.gov/Archives/edgar/data/2046386/000119312525328884/d933672dex102.htm" TargetMode="External"/><Relationship Id="rId34" Type="http://schemas.openxmlformats.org/officeDocument/2006/relationships/hyperlink" Target="https://www.sec.gov/Archives/edgar/data/2046386/000119312525328884/d933672dex103.htm" TargetMode="External"/><Relationship Id="rId35" Type="http://schemas.openxmlformats.org/officeDocument/2006/relationships/hyperlink" Target="https://www.sec.gov/Archives/edgar/data/2046386/000119312525328884/d933672dex104.htm" TargetMode="External"/><Relationship Id="rId36" Type="http://schemas.openxmlformats.org/officeDocument/2006/relationships/hyperlink" Target="https://www.sec.gov/Archives/edgar/data/2046386/000119312525328884/d933672dex1051.htm" TargetMode="External"/><Relationship Id="rId37" Type="http://schemas.openxmlformats.org/officeDocument/2006/relationships/hyperlink" Target="https://www.sec.gov/Archives/edgar/data/2046386/000119312525328884/d933672dex1052.htm" TargetMode="External"/><Relationship Id="rId38" Type="http://schemas.openxmlformats.org/officeDocument/2006/relationships/hyperlink" Target="https://www.sec.gov/Archives/edgar/data/2046386/000119312525328884/d933672dex1053.htm" TargetMode="External"/><Relationship Id="rId39" Type="http://schemas.openxmlformats.org/officeDocument/2006/relationships/hyperlink" Target="https://www.sec.gov/Archives/edgar/data/2046386/000119312525328884/d933672dex1054.htm" TargetMode="External"/><Relationship Id="rId40" Type="http://schemas.openxmlformats.org/officeDocument/2006/relationships/hyperlink" Target="https://www.sec.gov/Archives/edgar/data/2046386/000119312525253020/d932091dex106.htm" TargetMode="External"/><Relationship Id="rId41" Type="http://schemas.openxmlformats.org/officeDocument/2006/relationships/hyperlink" Target="https://www.sec.gov/Archives/edgar/data/2046386/000119312525253020/d932091dex106.htm" TargetMode="External"/><Relationship Id="rId42" Type="http://schemas.openxmlformats.org/officeDocument/2006/relationships/hyperlink" Target="https://www.sec.gov/Archives/edgar/data/2046386/000119312525253020/d932091dex107.htm" TargetMode="External"/><Relationship Id="rId43" Type="http://schemas.openxmlformats.org/officeDocument/2006/relationships/hyperlink" Target="https://www.sec.gov/Archives/edgar/data/2046386/000119312525253020/d932091dex107.htm" TargetMode="External"/><Relationship Id="rId44" Type="http://schemas.openxmlformats.org/officeDocument/2006/relationships/hyperlink" Target="https://www.sec.gov/Archives/edgar/data/2046386/000119312525253020/d932091dex108.htm" TargetMode="External"/><Relationship Id="rId45" Type="http://schemas.openxmlformats.org/officeDocument/2006/relationships/hyperlink" Target="https://www.sec.gov/Archives/edgar/data/2046386/000119312525253020/d932091dex108.htm" TargetMode="External"/><Relationship Id="rId46" Type="http://schemas.openxmlformats.org/officeDocument/2006/relationships/hyperlink" Target="https://www.sec.gov/Archives/edgar/data/2046386/000119312525253020/d932091dex109.htm" TargetMode="External"/><Relationship Id="rId47" Type="http://schemas.openxmlformats.org/officeDocument/2006/relationships/hyperlink" Target="https://www.sec.gov/Archives/edgar/data/2046386/000119312525253020/d932091dex109.htm" TargetMode="External"/><Relationship Id="rId48" Type="http://schemas.openxmlformats.org/officeDocument/2006/relationships/hyperlink" Target="https://www.sec.gov/Archives/edgar/data/2046386/000119312525253020/d932091dex1010.htm" TargetMode="External"/><Relationship Id="rId49" Type="http://schemas.openxmlformats.org/officeDocument/2006/relationships/hyperlink" Target="https://www.sec.gov/Archives/edgar/data/2046386/000119312525253020/d932091dex1010.htm" TargetMode="External"/><Relationship Id="rId50" Type="http://schemas.openxmlformats.org/officeDocument/2006/relationships/hyperlink" Target="https://www.sec.gov/Archives/edgar/data/2046386/000119312525321135/d76744dex43.htm" TargetMode="External"/><Relationship Id="rId51" Type="http://schemas.openxmlformats.org/officeDocument/2006/relationships/hyperlink" Target="https://www.sec.gov/Archives/edgar/data/2046386/000119312525321135/d76744dex43.htm" TargetMode="External"/><Relationship Id="rId52" Type="http://schemas.openxmlformats.org/officeDocument/2006/relationships/hyperlink" Target="https://www.sec.gov/Archives/edgar/data/2046386/000119312525253020/d932091dex1012.htm" TargetMode="External"/><Relationship Id="rId53" Type="http://schemas.openxmlformats.org/officeDocument/2006/relationships/hyperlink" Target="https://www.sec.gov/Archives/edgar/data/2046386/000119312525253020/d932091dex1013.htm" TargetMode="External"/><Relationship Id="rId54" Type="http://schemas.openxmlformats.org/officeDocument/2006/relationships/hyperlink" Target="https://www.sec.gov/Archives/edgar/data/2046386/000119312525253020/d932091dex1014.htm" TargetMode="External"/><Relationship Id="rId55" Type="http://schemas.openxmlformats.org/officeDocument/2006/relationships/hyperlink" Target="https://www.sec.gov/Archives/edgar/data/2046386/000119312525253020/d932091dex1015.htm" TargetMode="External"/><Relationship Id="rId56" Type="http://schemas.openxmlformats.org/officeDocument/2006/relationships/hyperlink" Target="https://www.sec.gov/Archives/edgar/data/2046386/000119312525253020/d932091dex1015.htm" TargetMode="External"/><Relationship Id="rId57" Type="http://schemas.openxmlformats.org/officeDocument/2006/relationships/hyperlink" Target="https://www.sec.gov/Archives/edgar/data/2046386/000119312525253020/d932091dex1016.htm" TargetMode="External"/><Relationship Id="rId58" Type="http://schemas.openxmlformats.org/officeDocument/2006/relationships/hyperlink" Target="https://www.sec.gov/Archives/edgar/data/2046386/000119312525253020/d932091dex1016.htm" TargetMode="External"/><Relationship Id="rId59" Type="http://schemas.openxmlformats.org/officeDocument/2006/relationships/hyperlink" Target="https://www.sec.gov/Archives/edgar/data/2046386/000119312525253020/d932091dex1017.htm" TargetMode="External"/><Relationship Id="rId60" Type="http://schemas.openxmlformats.org/officeDocument/2006/relationships/hyperlink" Target="https://www.sec.gov/Archives/edgar/data/2046386/000119312525253020/d932091dex1017.htm" TargetMode="External"/><Relationship Id="rId61" Type="http://schemas.openxmlformats.org/officeDocument/2006/relationships/hyperlink" Target="https://www.sec.gov/Archives/edgar/data/2046386/000119312525253020/d932091dex1018.htm" TargetMode="External"/><Relationship Id="rId62" Type="http://schemas.openxmlformats.org/officeDocument/2006/relationships/hyperlink" Target="https://www.sec.gov/Archives/edgar/data/2046386/000119312525253020/d932091dex1018.htm" TargetMode="External"/><Relationship Id="rId63" Type="http://schemas.openxmlformats.org/officeDocument/2006/relationships/hyperlink" Target="https://www.sec.gov/Archives/edgar/data/2046386/000119312525253020/d932091dex1019.htm" TargetMode="External"/><Relationship Id="rId64" Type="http://schemas.openxmlformats.org/officeDocument/2006/relationships/hyperlink" Target="https://www.sec.gov/Archives/edgar/data/2046386/000119312525253020/d932091dex1019.htm" TargetMode="External"/><Relationship Id="rId65" Type="http://schemas.openxmlformats.org/officeDocument/2006/relationships/hyperlink" Target="https://www.sec.gov/Archives/edgar/data/2046386/000119312525253020/d932091dex1020.htm" TargetMode="External"/><Relationship Id="rId66" Type="http://schemas.openxmlformats.org/officeDocument/2006/relationships/hyperlink" Target="https://www.sec.gov/Archives/edgar/data/2046386/000119312525253020/d932091dex1020.htm" TargetMode="External"/><Relationship Id="rId67" Type="http://schemas.openxmlformats.org/officeDocument/2006/relationships/hyperlink" Target="https://www.sec.gov/Archives/edgar/data/2046386/000119312525253020/d932091dex1021.htm" TargetMode="External"/><Relationship Id="rId68" Type="http://schemas.openxmlformats.org/officeDocument/2006/relationships/hyperlink" Target="https://www.sec.gov/Archives/edgar/data/2046386/000119312525253020/d932091dex1021.htm" TargetMode="External"/><Relationship Id="rId69" Type="http://schemas.openxmlformats.org/officeDocument/2006/relationships/hyperlink" Target="https://www.sec.gov/Archives/edgar/data/2046386/000119312525253020/d932091dex1022.htm" TargetMode="External"/><Relationship Id="rId70" Type="http://schemas.openxmlformats.org/officeDocument/2006/relationships/hyperlink" Target="https://www.sec.gov/Archives/edgar/data/2046386/000119312525253020/d932091dex1022.htm" TargetMode="External"/><Relationship Id="rId71" Type="http://schemas.openxmlformats.org/officeDocument/2006/relationships/hyperlink" Target="https://www.sec.gov/Archives/edgar/data/2046386/000119312525253020/d932091dex1023.htm" TargetMode="External"/><Relationship Id="rId72" Type="http://schemas.openxmlformats.org/officeDocument/2006/relationships/hyperlink" Target="https://www.sec.gov/Archives/edgar/data/2046386/000119312525253020/d932091dex1023.htm" TargetMode="External"/><Relationship Id="rId73" Type="http://schemas.openxmlformats.org/officeDocument/2006/relationships/hyperlink" Target="https://www.sec.gov/Archives/edgar/data/2046386/000119312525253020/d932091dex1024.htm" TargetMode="External"/><Relationship Id="rId74" Type="http://schemas.openxmlformats.org/officeDocument/2006/relationships/hyperlink" Target="https://www.sec.gov/Archives/edgar/data/2046386/000119312525253020/d932091dex1024.htm" TargetMode="External"/><Relationship Id="rId75" Type="http://schemas.openxmlformats.org/officeDocument/2006/relationships/hyperlink" Target="https://www.sec.gov/Archives/edgar/data/2046386/000119312525253020/d932091dex1025.htm" TargetMode="External"/><Relationship Id="rId76" Type="http://schemas.openxmlformats.org/officeDocument/2006/relationships/hyperlink" Target="https://www.sec.gov/Archives/edgar/data/2046386/000119312525253020/d932091dex1025.htm" TargetMode="External"/><Relationship Id="rId77" Type="http://schemas.openxmlformats.org/officeDocument/2006/relationships/hyperlink" Target="https://www.sec.gov/Archives/edgar/data/2046386/000119312525253020/d932091dex1026.htm" TargetMode="External"/><Relationship Id="rId78" Type="http://schemas.openxmlformats.org/officeDocument/2006/relationships/hyperlink" Target="https://www.sec.gov/Archives/edgar/data/2046386/000119312525253020/d932091dex1026.htm" TargetMode="External"/><Relationship Id="rId79" Type="http://schemas.openxmlformats.org/officeDocument/2006/relationships/hyperlink" Target="https://www.sec.gov/Archives/edgar/data/2046386/000119312525253020/d932091dex1027.htm" TargetMode="External"/><Relationship Id="rId80" Type="http://schemas.openxmlformats.org/officeDocument/2006/relationships/hyperlink" Target="https://www.sec.gov/Archives/edgar/data/2046386/000119312525253020/d932091dex1027.htm" TargetMode="External"/><Relationship Id="rId81" Type="http://schemas.openxmlformats.org/officeDocument/2006/relationships/hyperlink" Target="https://www.sec.gov/Archives/edgar/data/2046386/000119312525253020/d932091dex1028.htm" TargetMode="External"/><Relationship Id="rId82" Type="http://schemas.openxmlformats.org/officeDocument/2006/relationships/hyperlink" Target="https://www.sec.gov/Archives/edgar/data/2046386/000119312525253020/d932091dex1028.htm" TargetMode="External"/><Relationship Id="rId83" Type="http://schemas.openxmlformats.org/officeDocument/2006/relationships/hyperlink" Target="https://www.sec.gov/Archives/edgar/data/2046386/000119312525321135/d76744dex44.htm" TargetMode="External"/><Relationship Id="rId84" Type="http://schemas.openxmlformats.org/officeDocument/2006/relationships/hyperlink" Target="https://www.sec.gov/Archives/edgar/data/2046386/000119312525253020/d932091dex1031.htm" TargetMode="External"/><Relationship Id="rId85" Type="http://schemas.openxmlformats.org/officeDocument/2006/relationships/hyperlink" Target="https://www.sec.gov/Archives/edgar/data/2046386/000119312525253020/d932091dex1032.htm" TargetMode="External"/><Relationship Id="rId86" Type="http://schemas.openxmlformats.org/officeDocument/2006/relationships/hyperlink" Target="https://www.sec.gov/Archives/edgar/data/2046386/000119312525253020/d932091dex1033.htm" TargetMode="External"/><Relationship Id="rId87" Type="http://schemas.openxmlformats.org/officeDocument/2006/relationships/hyperlink" Target="https://www.sec.gov/Archives/edgar/data/2046386/000119312525253020/d932091dex1034.htm" TargetMode="External"/><Relationship Id="rId88" Type="http://schemas.openxmlformats.org/officeDocument/2006/relationships/hyperlink" Target="https://www.sec.gov/Archives/edgar/data/2046386/000119312525253020/d932091dex1035.htm" TargetMode="External"/><Relationship Id="rId89" Type="http://schemas.openxmlformats.org/officeDocument/2006/relationships/hyperlink" Target="https://www.sec.gov/Archives/edgar/data/2046386/000119312525253020/d932091dex1035.htm" TargetMode="External"/><Relationship Id="rId90" Type="http://schemas.openxmlformats.org/officeDocument/2006/relationships/hyperlink" Target="https://www.sec.gov/Archives/edgar/data/2046386/000119312525253020/d932091dex1036.htm" TargetMode="External"/><Relationship Id="rId91" Type="http://schemas.openxmlformats.org/officeDocument/2006/relationships/hyperlink" Target="https://www.sec.gov/Archives/edgar/data/2046386/000119312525253020/d932091dex1036.htm" TargetMode="External"/><Relationship Id="rId92" Type="http://schemas.openxmlformats.org/officeDocument/2006/relationships/hyperlink" Target="https://www.sec.gov/Archives/edgar/data/2046386/000119312525328884/d933672dex106.htm" TargetMode="External"/><Relationship Id="rId93" Type="http://schemas.openxmlformats.org/officeDocument/2006/relationships/fontTable" Target="fontTable.xml"/><Relationship Id="rId9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122</Pages>
  <Words>127793</Words>
  <Characters>704773</Characters>
  <CharactersWithSpaces>830084</CharactersWithSpaces>
  <Paragraphs>6541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