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Stephen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MEDLINE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LAKES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NORTHFIELD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60093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Medline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MDLN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4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5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1026"/>
      </w:tblGrid>
      <w:tr>
        <w:trPr>
          <w:tblHeader w:val="true"/>
        </w:trPr>
        <w:tc>
          <w:tcPr>
            <w:tcW w:w="123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5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5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5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Incentive Units of Medline Holdings, LP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19.01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87,667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87,667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87,667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(2)(3)(4)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performance-based incentive units of Medline Holdings, LP ("Incentive Units"), that were earned as a result of the achievement of certain performance criteria as certified by the compensation committee of the Issuer's board of directors on August 19, 2026. These Incentive Units are fully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Incentive Units are "profit interests" having economic characteristics similar to stock appreciation rights. Vested Incentive Units are convertible, at the holder's election, into a number of Common Units generally equal to (a) the product of the number of vested Incentive Units to be converted with a given per unit participation threshold and then-current difference between the per unit value of a Common Unit at the time of the conversion (based on the public trading price of a share of Class A Common Stock) and the per unit participation threshold of such vested Incentive Units divided by (b) the per unit value of a Common Unit at the time of the conversion (based on the public trading price of a share of Class A Common Stock), subject to certain adjustments.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(Continued from Footnote 2 above) Common Units are exchangeable on a one-for-one basis for shares of Class A Common Stock pursuant to the terms of the Exchange Agreement. These Incentive Units have no expiration date. Such Incentive Units are held indirectly through Medline Management Aggregator LLC.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securities are held by a trust, of which the Reporting Person is a trustee.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Nicole Fritz,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0964" TargetMode="External"/><Relationship Id="rId5" Type="http://schemas.openxmlformats.org/officeDocument/2006/relationships/hyperlink" Target="http://www.sec.gov/cgi-bin/browse-edgar?action=getcompany&amp;CIK=00020463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816</Words>
  <Characters>4399</Characters>
  <CharactersWithSpaces>5139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